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1B" w:rsidRPr="00AD2228" w:rsidRDefault="009E4F1B" w:rsidP="009E4F1B">
      <w:pPr>
        <w:spacing w:after="600"/>
        <w:jc w:val="center"/>
        <w:rPr>
          <w:rFonts w:cs="Arial"/>
          <w:b/>
          <w:sz w:val="32"/>
        </w:rPr>
      </w:pPr>
      <w:r w:rsidRPr="00AD2228">
        <w:rPr>
          <w:rFonts w:cs="Arial"/>
          <w:b/>
          <w:sz w:val="32"/>
        </w:rPr>
        <w:t>Modèle de C</w:t>
      </w:r>
      <w:r>
        <w:rPr>
          <w:rFonts w:cs="Arial"/>
          <w:b/>
          <w:sz w:val="32"/>
        </w:rPr>
        <w:t>SC pour les travaux d'entretien de voiries communales</w:t>
      </w:r>
    </w:p>
    <w:p w:rsidR="009E4F1B" w:rsidRPr="006D5FD7" w:rsidRDefault="009E4F1B" w:rsidP="009E4F1B">
      <w:pPr>
        <w:spacing w:before="600" w:line="360" w:lineRule="auto"/>
        <w:rPr>
          <w:rFonts w:cs="Arial"/>
          <w:b/>
          <w:i/>
          <w:sz w:val="24"/>
        </w:rPr>
      </w:pPr>
      <w:r w:rsidRPr="006D5FD7">
        <w:rPr>
          <w:rFonts w:cs="Arial"/>
          <w:b/>
          <w:i/>
          <w:sz w:val="24"/>
        </w:rPr>
        <w:t>Les textes en italique sont des commentaires qui ne doivent pas figurer dans le CSC. Ils constituent une aide pour l’auteur de projet.</w:t>
      </w:r>
    </w:p>
    <w:p w:rsidR="009E4F1B" w:rsidRPr="006907D2" w:rsidRDefault="009E4F1B" w:rsidP="009E4F1B">
      <w:pPr>
        <w:spacing w:before="600" w:line="360" w:lineRule="auto"/>
        <w:rPr>
          <w:rFonts w:cs="Arial"/>
          <w:sz w:val="24"/>
        </w:rPr>
      </w:pPr>
      <w:r w:rsidRPr="006907D2">
        <w:rPr>
          <w:rFonts w:cs="Arial"/>
          <w:sz w:val="24"/>
        </w:rPr>
        <w:t xml:space="preserve">Ce modèle de CSC est à utiliser exclusivement pour des travaux d’enduisage et/ou de raclage-pose. </w:t>
      </w:r>
    </w:p>
    <w:p w:rsidR="009E4F1B" w:rsidRPr="006907D2" w:rsidRDefault="009E4F1B" w:rsidP="009E4F1B">
      <w:pPr>
        <w:spacing w:before="600" w:line="360" w:lineRule="auto"/>
        <w:rPr>
          <w:rFonts w:cs="Arial"/>
          <w:sz w:val="24"/>
        </w:rPr>
      </w:pPr>
      <w:r w:rsidRPr="00DD5917">
        <w:rPr>
          <w:rFonts w:cs="Arial"/>
          <w:sz w:val="24"/>
        </w:rPr>
        <w:t>Les articles comme l’article 25 "cautionnement complémentaire", article 34 " système de gestion de la qualité", article 79 "organisation générale du chantier - impétrants" et d’autres sont influencés par la nature des travaux à réaliser.</w:t>
      </w:r>
    </w:p>
    <w:p w:rsidR="009E4F1B" w:rsidRPr="006907D2" w:rsidRDefault="009E4F1B" w:rsidP="009E4F1B">
      <w:pPr>
        <w:spacing w:before="600" w:line="360" w:lineRule="auto"/>
        <w:rPr>
          <w:rFonts w:cs="Arial"/>
          <w:sz w:val="24"/>
        </w:rPr>
      </w:pPr>
      <w:r w:rsidRPr="006907D2">
        <w:rPr>
          <w:rFonts w:cs="Arial"/>
          <w:sz w:val="24"/>
        </w:rPr>
        <w:t>Il en est de même pour les articles des clauses techniques qui sont d’autant plus dépendants des interventions envisagées.</w:t>
      </w:r>
    </w:p>
    <w:p w:rsidR="00A91145" w:rsidRDefault="009E4F1B" w:rsidP="009E4F1B">
      <w:pPr>
        <w:spacing w:before="600" w:line="360" w:lineRule="auto"/>
        <w:rPr>
          <w:rFonts w:cs="Arial"/>
          <w:sz w:val="24"/>
        </w:rPr>
      </w:pPr>
      <w:r w:rsidRPr="006907D2">
        <w:rPr>
          <w:rFonts w:cs="Arial"/>
          <w:sz w:val="24"/>
        </w:rPr>
        <w:t>Le modèle en annexe est à utiliser comme aide mémoire pour les travaux de surface. Dès que d’autres travaux s’avèrent nécessaires, comme</w:t>
      </w:r>
      <w:r>
        <w:rPr>
          <w:rFonts w:cs="Arial"/>
          <w:sz w:val="24"/>
        </w:rPr>
        <w:t>,</w:t>
      </w:r>
      <w:r w:rsidRPr="006907D2">
        <w:rPr>
          <w:rFonts w:cs="Arial"/>
          <w:sz w:val="24"/>
        </w:rPr>
        <w:t xml:space="preserve"> par exemple</w:t>
      </w:r>
      <w:r>
        <w:rPr>
          <w:rFonts w:cs="Arial"/>
          <w:sz w:val="24"/>
        </w:rPr>
        <w:t>,</w:t>
      </w:r>
      <w:r w:rsidRPr="006907D2">
        <w:rPr>
          <w:rFonts w:cs="Arial"/>
          <w:sz w:val="24"/>
        </w:rPr>
        <w:t xml:space="preserve"> la mise à niveau d’avaloirs, la pose de bordure</w:t>
      </w:r>
      <w:r>
        <w:rPr>
          <w:rFonts w:cs="Arial"/>
          <w:sz w:val="24"/>
        </w:rPr>
        <w:t>s</w:t>
      </w:r>
      <w:r w:rsidRPr="006907D2">
        <w:rPr>
          <w:rFonts w:cs="Arial"/>
          <w:sz w:val="24"/>
        </w:rPr>
        <w:t>, la réalisation de marquage, ce modèle est à adapter.</w:t>
      </w:r>
      <w:r>
        <w:rPr>
          <w:rFonts w:cs="Arial"/>
          <w:sz w:val="24"/>
        </w:rPr>
        <w:t xml:space="preserve"> Il convient alors de se référer aux clauses administratives et techniques du modèle de CSC annexé au CCT </w:t>
      </w:r>
      <w:proofErr w:type="spellStart"/>
      <w:r>
        <w:rPr>
          <w:rFonts w:cs="Arial"/>
          <w:sz w:val="24"/>
        </w:rPr>
        <w:t>Qualiroutes</w:t>
      </w:r>
      <w:proofErr w:type="spellEnd"/>
      <w:r>
        <w:rPr>
          <w:rFonts w:cs="Arial"/>
          <w:sz w:val="24"/>
        </w:rPr>
        <w:t>.</w:t>
      </w:r>
    </w:p>
    <w:p w:rsidR="00A91145" w:rsidRDefault="00A91145">
      <w:pPr>
        <w:spacing w:before="0" w:after="200" w:line="276" w:lineRule="auto"/>
        <w:jc w:val="left"/>
        <w:rPr>
          <w:rFonts w:cs="Arial"/>
          <w:sz w:val="24"/>
        </w:rPr>
      </w:pPr>
      <w:r>
        <w:rPr>
          <w:rFonts w:cs="Arial"/>
          <w:sz w:val="24"/>
        </w:rPr>
        <w:br w:type="page"/>
      </w:r>
    </w:p>
    <w:sdt>
      <w:sdtPr>
        <w:rPr>
          <w:rFonts w:eastAsia="Times New Roman" w:cs="Times New Roman"/>
          <w:b w:val="0"/>
          <w:bCs w:val="0"/>
          <w:color w:val="FF0000"/>
          <w:sz w:val="20"/>
          <w:szCs w:val="20"/>
          <w:u w:val="none"/>
          <w:lang w:eastAsia="fr-BE"/>
        </w:rPr>
        <w:id w:val="9816833"/>
        <w:docPartObj>
          <w:docPartGallery w:val="Table of Contents"/>
          <w:docPartUnique/>
        </w:docPartObj>
      </w:sdtPr>
      <w:sdtEndPr>
        <w:rPr>
          <w:sz w:val="22"/>
        </w:rPr>
      </w:sdtEndPr>
      <w:sdtContent>
        <w:p w:rsidR="00A91145" w:rsidRPr="007F0C4F" w:rsidRDefault="00A91145" w:rsidP="00BC3844">
          <w:pPr>
            <w:pStyle w:val="En-ttedetabledesmatires"/>
            <w:pBdr>
              <w:top w:val="dotted" w:sz="12" w:space="0" w:color="auto"/>
            </w:pBdr>
            <w:rPr>
              <w:sz w:val="20"/>
              <w:szCs w:val="20"/>
            </w:rPr>
          </w:pPr>
          <w:r w:rsidRPr="007F0C4F">
            <w:rPr>
              <w:rFonts w:cs="Arial"/>
              <w:sz w:val="20"/>
              <w:szCs w:val="20"/>
            </w:rPr>
            <w:t>Table des matières</w:t>
          </w:r>
        </w:p>
        <w:p w:rsidR="00010294" w:rsidRDefault="000249DB">
          <w:pPr>
            <w:pStyle w:val="TM1"/>
            <w:tabs>
              <w:tab w:val="right" w:leader="dot" w:pos="9736"/>
            </w:tabs>
            <w:rPr>
              <w:rFonts w:asciiTheme="minorHAnsi" w:eastAsiaTheme="minorEastAsia" w:hAnsiTheme="minorHAnsi" w:cstheme="minorBidi"/>
              <w:noProof/>
              <w:szCs w:val="22"/>
              <w:lang w:val="fr-BE"/>
            </w:rPr>
          </w:pPr>
          <w:r w:rsidRPr="007F0C4F">
            <w:rPr>
              <w:sz w:val="20"/>
            </w:rPr>
            <w:fldChar w:fldCharType="begin"/>
          </w:r>
          <w:r w:rsidR="00A91145" w:rsidRPr="007F0C4F">
            <w:rPr>
              <w:sz w:val="20"/>
            </w:rPr>
            <w:instrText xml:space="preserve"> TOC \o "1-3" \h \z \u </w:instrText>
          </w:r>
          <w:r w:rsidRPr="007F0C4F">
            <w:rPr>
              <w:sz w:val="20"/>
            </w:rPr>
            <w:fldChar w:fldCharType="separate"/>
          </w:r>
          <w:hyperlink w:anchor="_Toc503796602" w:history="1">
            <w:r w:rsidR="00010294" w:rsidRPr="00BE52C4">
              <w:rPr>
                <w:rStyle w:val="Lienhypertexte"/>
                <w:noProof/>
              </w:rPr>
              <w:t>1</w:t>
            </w:r>
            <w:r w:rsidR="00010294" w:rsidRPr="00BE52C4">
              <w:rPr>
                <w:rStyle w:val="Lienhypertexte"/>
                <w:noProof/>
                <w:vertAlign w:val="superscript"/>
              </w:rPr>
              <w:t>ère</w:t>
            </w:r>
            <w:r w:rsidR="00010294" w:rsidRPr="00BE52C4">
              <w:rPr>
                <w:rStyle w:val="Lienhypertexte"/>
                <w:noProof/>
              </w:rPr>
              <w:t xml:space="preserve"> partie - Généralités</w:t>
            </w:r>
            <w:r w:rsidR="00010294">
              <w:rPr>
                <w:noProof/>
                <w:webHidden/>
              </w:rPr>
              <w:tab/>
            </w:r>
            <w:r>
              <w:rPr>
                <w:noProof/>
                <w:webHidden/>
              </w:rPr>
              <w:fldChar w:fldCharType="begin"/>
            </w:r>
            <w:r w:rsidR="00010294">
              <w:rPr>
                <w:noProof/>
                <w:webHidden/>
              </w:rPr>
              <w:instrText xml:space="preserve"> PAGEREF _Toc503796602 \h </w:instrText>
            </w:r>
            <w:r>
              <w:rPr>
                <w:noProof/>
                <w:webHidden/>
              </w:rPr>
            </w:r>
            <w:r>
              <w:rPr>
                <w:noProof/>
                <w:webHidden/>
              </w:rPr>
              <w:fldChar w:fldCharType="separate"/>
            </w:r>
            <w:r w:rsidR="00010294">
              <w:rPr>
                <w:noProof/>
                <w:webHidden/>
              </w:rPr>
              <w:t>4</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03" w:history="1">
            <w:r w:rsidR="00010294" w:rsidRPr="00BE52C4">
              <w:rPr>
                <w:rStyle w:val="Lienhypertexte"/>
                <w:noProof/>
              </w:rPr>
              <w:t>1. Dérogations au CCT QUALIROUTES</w:t>
            </w:r>
            <w:r w:rsidR="00010294">
              <w:rPr>
                <w:noProof/>
                <w:webHidden/>
              </w:rPr>
              <w:tab/>
            </w:r>
            <w:r>
              <w:rPr>
                <w:noProof/>
                <w:webHidden/>
              </w:rPr>
              <w:fldChar w:fldCharType="begin"/>
            </w:r>
            <w:r w:rsidR="00010294">
              <w:rPr>
                <w:noProof/>
                <w:webHidden/>
              </w:rPr>
              <w:instrText xml:space="preserve"> PAGEREF _Toc503796603 \h </w:instrText>
            </w:r>
            <w:r>
              <w:rPr>
                <w:noProof/>
                <w:webHidden/>
              </w:rPr>
            </w:r>
            <w:r>
              <w:rPr>
                <w:noProof/>
                <w:webHidden/>
              </w:rPr>
              <w:fldChar w:fldCharType="separate"/>
            </w:r>
            <w:r w:rsidR="00010294">
              <w:rPr>
                <w:noProof/>
                <w:webHidden/>
              </w:rPr>
              <w:t>4</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04" w:history="1">
            <w:r w:rsidR="00010294" w:rsidRPr="00BE52C4">
              <w:rPr>
                <w:rStyle w:val="Lienhypertexte"/>
                <w:noProof/>
              </w:rPr>
              <w:t>2. Pouvoir adjudicateur</w:t>
            </w:r>
            <w:r w:rsidR="00010294">
              <w:rPr>
                <w:noProof/>
                <w:webHidden/>
              </w:rPr>
              <w:tab/>
            </w:r>
            <w:r>
              <w:rPr>
                <w:noProof/>
                <w:webHidden/>
              </w:rPr>
              <w:fldChar w:fldCharType="begin"/>
            </w:r>
            <w:r w:rsidR="00010294">
              <w:rPr>
                <w:noProof/>
                <w:webHidden/>
              </w:rPr>
              <w:instrText xml:space="preserve"> PAGEREF _Toc503796604 \h </w:instrText>
            </w:r>
            <w:r>
              <w:rPr>
                <w:noProof/>
                <w:webHidden/>
              </w:rPr>
            </w:r>
            <w:r>
              <w:rPr>
                <w:noProof/>
                <w:webHidden/>
              </w:rPr>
              <w:fldChar w:fldCharType="separate"/>
            </w:r>
            <w:r w:rsidR="00010294">
              <w:rPr>
                <w:noProof/>
                <w:webHidden/>
              </w:rPr>
              <w:t>4</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05" w:history="1">
            <w:r w:rsidR="00010294" w:rsidRPr="00BE52C4">
              <w:rPr>
                <w:rStyle w:val="Lienhypertexte"/>
                <w:noProof/>
              </w:rPr>
              <w:t>3. Objet du marché et description des travaux</w:t>
            </w:r>
            <w:r w:rsidR="00010294">
              <w:rPr>
                <w:noProof/>
                <w:webHidden/>
              </w:rPr>
              <w:tab/>
            </w:r>
            <w:r>
              <w:rPr>
                <w:noProof/>
                <w:webHidden/>
              </w:rPr>
              <w:fldChar w:fldCharType="begin"/>
            </w:r>
            <w:r w:rsidR="00010294">
              <w:rPr>
                <w:noProof/>
                <w:webHidden/>
              </w:rPr>
              <w:instrText xml:space="preserve"> PAGEREF _Toc503796605 \h </w:instrText>
            </w:r>
            <w:r>
              <w:rPr>
                <w:noProof/>
                <w:webHidden/>
              </w:rPr>
            </w:r>
            <w:r>
              <w:rPr>
                <w:noProof/>
                <w:webHidden/>
              </w:rPr>
              <w:fldChar w:fldCharType="separate"/>
            </w:r>
            <w:r w:rsidR="00010294">
              <w:rPr>
                <w:noProof/>
                <w:webHidden/>
              </w:rPr>
              <w:t>4</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06" w:history="1">
            <w:r w:rsidR="00010294" w:rsidRPr="00BE52C4">
              <w:rPr>
                <w:rStyle w:val="Lienhypertexte"/>
                <w:noProof/>
              </w:rPr>
              <w:t>4. Législation et documents contractuels applicables</w:t>
            </w:r>
            <w:r w:rsidR="00010294">
              <w:rPr>
                <w:noProof/>
                <w:webHidden/>
              </w:rPr>
              <w:tab/>
            </w:r>
            <w:r>
              <w:rPr>
                <w:noProof/>
                <w:webHidden/>
              </w:rPr>
              <w:fldChar w:fldCharType="begin"/>
            </w:r>
            <w:r w:rsidR="00010294">
              <w:rPr>
                <w:noProof/>
                <w:webHidden/>
              </w:rPr>
              <w:instrText xml:space="preserve"> PAGEREF _Toc503796606 \h </w:instrText>
            </w:r>
            <w:r>
              <w:rPr>
                <w:noProof/>
                <w:webHidden/>
              </w:rPr>
            </w:r>
            <w:r>
              <w:rPr>
                <w:noProof/>
                <w:webHidden/>
              </w:rPr>
              <w:fldChar w:fldCharType="separate"/>
            </w:r>
            <w:r w:rsidR="00010294">
              <w:rPr>
                <w:noProof/>
                <w:webHidden/>
              </w:rPr>
              <w:t>4</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07" w:history="1">
            <w:r w:rsidR="00010294" w:rsidRPr="00BE52C4">
              <w:rPr>
                <w:rStyle w:val="Lienhypertexte"/>
                <w:noProof/>
              </w:rPr>
              <w:t>5. Lots</w:t>
            </w:r>
            <w:r w:rsidR="00010294">
              <w:rPr>
                <w:noProof/>
                <w:webHidden/>
              </w:rPr>
              <w:tab/>
            </w:r>
            <w:r>
              <w:rPr>
                <w:noProof/>
                <w:webHidden/>
              </w:rPr>
              <w:fldChar w:fldCharType="begin"/>
            </w:r>
            <w:r w:rsidR="00010294">
              <w:rPr>
                <w:noProof/>
                <w:webHidden/>
              </w:rPr>
              <w:instrText xml:space="preserve"> PAGEREF _Toc503796607 \h </w:instrText>
            </w:r>
            <w:r>
              <w:rPr>
                <w:noProof/>
                <w:webHidden/>
              </w:rPr>
            </w:r>
            <w:r>
              <w:rPr>
                <w:noProof/>
                <w:webHidden/>
              </w:rPr>
              <w:fldChar w:fldCharType="separate"/>
            </w:r>
            <w:r w:rsidR="00010294">
              <w:rPr>
                <w:noProof/>
                <w:webHidden/>
              </w:rPr>
              <w:t>6</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08" w:history="1">
            <w:r w:rsidR="00010294" w:rsidRPr="00BE52C4">
              <w:rPr>
                <w:rStyle w:val="Lienhypertexte"/>
                <w:noProof/>
              </w:rPr>
              <w:t>6. Variante(s)</w:t>
            </w:r>
            <w:r w:rsidR="00010294">
              <w:rPr>
                <w:noProof/>
                <w:webHidden/>
              </w:rPr>
              <w:tab/>
            </w:r>
            <w:r>
              <w:rPr>
                <w:noProof/>
                <w:webHidden/>
              </w:rPr>
              <w:fldChar w:fldCharType="begin"/>
            </w:r>
            <w:r w:rsidR="00010294">
              <w:rPr>
                <w:noProof/>
                <w:webHidden/>
              </w:rPr>
              <w:instrText xml:space="preserve"> PAGEREF _Toc503796608 \h </w:instrText>
            </w:r>
            <w:r>
              <w:rPr>
                <w:noProof/>
                <w:webHidden/>
              </w:rPr>
            </w:r>
            <w:r>
              <w:rPr>
                <w:noProof/>
                <w:webHidden/>
              </w:rPr>
              <w:fldChar w:fldCharType="separate"/>
            </w:r>
            <w:r w:rsidR="00010294">
              <w:rPr>
                <w:noProof/>
                <w:webHidden/>
              </w:rPr>
              <w:t>6</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09" w:history="1">
            <w:r w:rsidR="00010294" w:rsidRPr="00BE52C4">
              <w:rPr>
                <w:rStyle w:val="Lienhypertexte"/>
                <w:noProof/>
              </w:rPr>
              <w:t>7. Option(s)</w:t>
            </w:r>
            <w:r w:rsidR="00010294">
              <w:rPr>
                <w:noProof/>
                <w:webHidden/>
              </w:rPr>
              <w:tab/>
            </w:r>
            <w:r>
              <w:rPr>
                <w:noProof/>
                <w:webHidden/>
              </w:rPr>
              <w:fldChar w:fldCharType="begin"/>
            </w:r>
            <w:r w:rsidR="00010294">
              <w:rPr>
                <w:noProof/>
                <w:webHidden/>
              </w:rPr>
              <w:instrText xml:space="preserve"> PAGEREF _Toc503796609 \h </w:instrText>
            </w:r>
            <w:r>
              <w:rPr>
                <w:noProof/>
                <w:webHidden/>
              </w:rPr>
            </w:r>
            <w:r>
              <w:rPr>
                <w:noProof/>
                <w:webHidden/>
              </w:rPr>
              <w:fldChar w:fldCharType="separate"/>
            </w:r>
            <w:r w:rsidR="00010294">
              <w:rPr>
                <w:noProof/>
                <w:webHidden/>
              </w:rPr>
              <w:t>6</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10" w:history="1">
            <w:r w:rsidR="00010294" w:rsidRPr="00BE52C4">
              <w:rPr>
                <w:rStyle w:val="Lienhypertexte"/>
                <w:noProof/>
              </w:rPr>
              <w:t>8. Mode de passation du marché</w:t>
            </w:r>
            <w:r w:rsidR="00010294">
              <w:rPr>
                <w:noProof/>
                <w:webHidden/>
              </w:rPr>
              <w:tab/>
            </w:r>
            <w:r>
              <w:rPr>
                <w:noProof/>
                <w:webHidden/>
              </w:rPr>
              <w:fldChar w:fldCharType="begin"/>
            </w:r>
            <w:r w:rsidR="00010294">
              <w:rPr>
                <w:noProof/>
                <w:webHidden/>
              </w:rPr>
              <w:instrText xml:space="preserve"> PAGEREF _Toc503796610 \h </w:instrText>
            </w:r>
            <w:r>
              <w:rPr>
                <w:noProof/>
                <w:webHidden/>
              </w:rPr>
            </w:r>
            <w:r>
              <w:rPr>
                <w:noProof/>
                <w:webHidden/>
              </w:rPr>
              <w:fldChar w:fldCharType="separate"/>
            </w:r>
            <w:r w:rsidR="00010294">
              <w:rPr>
                <w:noProof/>
                <w:webHidden/>
              </w:rPr>
              <w:t>6</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11" w:history="1">
            <w:r w:rsidR="00010294" w:rsidRPr="00BE52C4">
              <w:rPr>
                <w:rStyle w:val="Lienhypertexte"/>
                <w:noProof/>
              </w:rPr>
              <w:t>9. Sélection</w:t>
            </w:r>
            <w:r w:rsidR="00010294">
              <w:rPr>
                <w:noProof/>
                <w:webHidden/>
              </w:rPr>
              <w:tab/>
            </w:r>
            <w:r>
              <w:rPr>
                <w:noProof/>
                <w:webHidden/>
              </w:rPr>
              <w:fldChar w:fldCharType="begin"/>
            </w:r>
            <w:r w:rsidR="00010294">
              <w:rPr>
                <w:noProof/>
                <w:webHidden/>
              </w:rPr>
              <w:instrText xml:space="preserve"> PAGEREF _Toc503796611 \h </w:instrText>
            </w:r>
            <w:r>
              <w:rPr>
                <w:noProof/>
                <w:webHidden/>
              </w:rPr>
            </w:r>
            <w:r>
              <w:rPr>
                <w:noProof/>
                <w:webHidden/>
              </w:rPr>
              <w:fldChar w:fldCharType="separate"/>
            </w:r>
            <w:r w:rsidR="00010294">
              <w:rPr>
                <w:noProof/>
                <w:webHidden/>
              </w:rPr>
              <w:t>7</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12" w:history="1">
            <w:r w:rsidR="00010294" w:rsidRPr="00BE52C4">
              <w:rPr>
                <w:rStyle w:val="Lienhypertexte"/>
                <w:noProof/>
              </w:rPr>
              <w:t>9.1. Motifs d’exclusion</w:t>
            </w:r>
            <w:r w:rsidR="00010294">
              <w:rPr>
                <w:noProof/>
                <w:webHidden/>
              </w:rPr>
              <w:tab/>
            </w:r>
            <w:r>
              <w:rPr>
                <w:noProof/>
                <w:webHidden/>
              </w:rPr>
              <w:fldChar w:fldCharType="begin"/>
            </w:r>
            <w:r w:rsidR="00010294">
              <w:rPr>
                <w:noProof/>
                <w:webHidden/>
              </w:rPr>
              <w:instrText xml:space="preserve"> PAGEREF _Toc503796612 \h </w:instrText>
            </w:r>
            <w:r>
              <w:rPr>
                <w:noProof/>
                <w:webHidden/>
              </w:rPr>
            </w:r>
            <w:r>
              <w:rPr>
                <w:noProof/>
                <w:webHidden/>
              </w:rPr>
              <w:fldChar w:fldCharType="separate"/>
            </w:r>
            <w:r w:rsidR="00010294">
              <w:rPr>
                <w:noProof/>
                <w:webHidden/>
              </w:rPr>
              <w:t>7</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13" w:history="1">
            <w:r w:rsidR="00010294" w:rsidRPr="00BE52C4">
              <w:rPr>
                <w:rStyle w:val="Lienhypertexte"/>
                <w:noProof/>
              </w:rPr>
              <w:t>9.2. Dettes sociales et fiscales (article 68 de la loi et articles 62 et 63 de l’ARP)</w:t>
            </w:r>
            <w:r w:rsidR="00010294">
              <w:rPr>
                <w:noProof/>
                <w:webHidden/>
              </w:rPr>
              <w:tab/>
            </w:r>
            <w:r>
              <w:rPr>
                <w:noProof/>
                <w:webHidden/>
              </w:rPr>
              <w:fldChar w:fldCharType="begin"/>
            </w:r>
            <w:r w:rsidR="00010294">
              <w:rPr>
                <w:noProof/>
                <w:webHidden/>
              </w:rPr>
              <w:instrText xml:space="preserve"> PAGEREF _Toc503796613 \h </w:instrText>
            </w:r>
            <w:r>
              <w:rPr>
                <w:noProof/>
                <w:webHidden/>
              </w:rPr>
            </w:r>
            <w:r>
              <w:rPr>
                <w:noProof/>
                <w:webHidden/>
              </w:rPr>
              <w:fldChar w:fldCharType="separate"/>
            </w:r>
            <w:r w:rsidR="00010294">
              <w:rPr>
                <w:noProof/>
                <w:webHidden/>
              </w:rPr>
              <w:t>7</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14" w:history="1">
            <w:r w:rsidR="00010294" w:rsidRPr="00BE52C4">
              <w:rPr>
                <w:rStyle w:val="Lienhypertexte"/>
                <w:noProof/>
              </w:rPr>
              <w:t>9.3. Critères de sélection qualitative</w:t>
            </w:r>
            <w:r w:rsidR="00010294">
              <w:rPr>
                <w:noProof/>
                <w:webHidden/>
              </w:rPr>
              <w:tab/>
            </w:r>
            <w:r>
              <w:rPr>
                <w:noProof/>
                <w:webHidden/>
              </w:rPr>
              <w:fldChar w:fldCharType="begin"/>
            </w:r>
            <w:r w:rsidR="00010294">
              <w:rPr>
                <w:noProof/>
                <w:webHidden/>
              </w:rPr>
              <w:instrText xml:space="preserve"> PAGEREF _Toc503796614 \h </w:instrText>
            </w:r>
            <w:r>
              <w:rPr>
                <w:noProof/>
                <w:webHidden/>
              </w:rPr>
            </w:r>
            <w:r>
              <w:rPr>
                <w:noProof/>
                <w:webHidden/>
              </w:rPr>
              <w:fldChar w:fldCharType="separate"/>
            </w:r>
            <w:r w:rsidR="00010294">
              <w:rPr>
                <w:noProof/>
                <w:webHidden/>
              </w:rPr>
              <w:t>7</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15" w:history="1">
            <w:r w:rsidR="00010294" w:rsidRPr="00BE52C4">
              <w:rPr>
                <w:rStyle w:val="Lienhypertexte"/>
                <w:noProof/>
              </w:rPr>
              <w:t>9.4. Document à joindre à l’offre</w:t>
            </w:r>
            <w:r w:rsidR="00010294">
              <w:rPr>
                <w:noProof/>
                <w:webHidden/>
              </w:rPr>
              <w:tab/>
            </w:r>
            <w:r>
              <w:rPr>
                <w:noProof/>
                <w:webHidden/>
              </w:rPr>
              <w:fldChar w:fldCharType="begin"/>
            </w:r>
            <w:r w:rsidR="00010294">
              <w:rPr>
                <w:noProof/>
                <w:webHidden/>
              </w:rPr>
              <w:instrText xml:space="preserve"> PAGEREF _Toc503796615 \h </w:instrText>
            </w:r>
            <w:r>
              <w:rPr>
                <w:noProof/>
                <w:webHidden/>
              </w:rPr>
            </w:r>
            <w:r>
              <w:rPr>
                <w:noProof/>
                <w:webHidden/>
              </w:rPr>
              <w:fldChar w:fldCharType="separate"/>
            </w:r>
            <w:r w:rsidR="00010294">
              <w:rPr>
                <w:noProof/>
                <w:webHidden/>
              </w:rPr>
              <w:t>8</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16" w:history="1">
            <w:r w:rsidR="00010294" w:rsidRPr="00BE52C4">
              <w:rPr>
                <w:rStyle w:val="Lienhypertexte"/>
                <w:noProof/>
                <w:lang w:val="fr-BE"/>
              </w:rPr>
              <w:t>9.5. Vérification des motifs d’exclusion</w:t>
            </w:r>
            <w:r w:rsidR="00010294">
              <w:rPr>
                <w:noProof/>
                <w:webHidden/>
              </w:rPr>
              <w:tab/>
            </w:r>
            <w:r>
              <w:rPr>
                <w:noProof/>
                <w:webHidden/>
              </w:rPr>
              <w:fldChar w:fldCharType="begin"/>
            </w:r>
            <w:r w:rsidR="00010294">
              <w:rPr>
                <w:noProof/>
                <w:webHidden/>
              </w:rPr>
              <w:instrText xml:space="preserve"> PAGEREF _Toc503796616 \h </w:instrText>
            </w:r>
            <w:r>
              <w:rPr>
                <w:noProof/>
                <w:webHidden/>
              </w:rPr>
            </w:r>
            <w:r>
              <w:rPr>
                <w:noProof/>
                <w:webHidden/>
              </w:rPr>
              <w:fldChar w:fldCharType="separate"/>
            </w:r>
            <w:r w:rsidR="00010294">
              <w:rPr>
                <w:noProof/>
                <w:webHidden/>
              </w:rPr>
              <w:t>9</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17" w:history="1">
            <w:r w:rsidR="00010294" w:rsidRPr="00BE52C4">
              <w:rPr>
                <w:rStyle w:val="Lienhypertexte"/>
                <w:noProof/>
              </w:rPr>
              <w:t>10. Critères d'attribution (article 81 de la loi)</w:t>
            </w:r>
            <w:r w:rsidR="00010294">
              <w:rPr>
                <w:noProof/>
                <w:webHidden/>
              </w:rPr>
              <w:tab/>
            </w:r>
            <w:r>
              <w:rPr>
                <w:noProof/>
                <w:webHidden/>
              </w:rPr>
              <w:fldChar w:fldCharType="begin"/>
            </w:r>
            <w:r w:rsidR="00010294">
              <w:rPr>
                <w:noProof/>
                <w:webHidden/>
              </w:rPr>
              <w:instrText xml:space="preserve"> PAGEREF _Toc503796617 \h </w:instrText>
            </w:r>
            <w:r>
              <w:rPr>
                <w:noProof/>
                <w:webHidden/>
              </w:rPr>
            </w:r>
            <w:r>
              <w:rPr>
                <w:noProof/>
                <w:webHidden/>
              </w:rPr>
              <w:fldChar w:fldCharType="separate"/>
            </w:r>
            <w:r w:rsidR="00010294">
              <w:rPr>
                <w:noProof/>
                <w:webHidden/>
              </w:rPr>
              <w:t>9</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18" w:history="1">
            <w:r w:rsidR="00010294" w:rsidRPr="00BE52C4">
              <w:rPr>
                <w:rStyle w:val="Lienhypertexte"/>
                <w:noProof/>
              </w:rPr>
              <w:t>11. Mode de détermination des prix (article 2, 3° à 6° et 26 de l’ARP)</w:t>
            </w:r>
            <w:r w:rsidR="00010294">
              <w:rPr>
                <w:noProof/>
                <w:webHidden/>
              </w:rPr>
              <w:tab/>
            </w:r>
            <w:r>
              <w:rPr>
                <w:noProof/>
                <w:webHidden/>
              </w:rPr>
              <w:fldChar w:fldCharType="begin"/>
            </w:r>
            <w:r w:rsidR="00010294">
              <w:rPr>
                <w:noProof/>
                <w:webHidden/>
              </w:rPr>
              <w:instrText xml:space="preserve"> PAGEREF _Toc503796618 \h </w:instrText>
            </w:r>
            <w:r>
              <w:rPr>
                <w:noProof/>
                <w:webHidden/>
              </w:rPr>
            </w:r>
            <w:r>
              <w:rPr>
                <w:noProof/>
                <w:webHidden/>
              </w:rPr>
              <w:fldChar w:fldCharType="separate"/>
            </w:r>
            <w:r w:rsidR="00010294">
              <w:rPr>
                <w:noProof/>
                <w:webHidden/>
              </w:rPr>
              <w:t>9</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19" w:history="1">
            <w:r w:rsidR="00010294" w:rsidRPr="00BE52C4">
              <w:rPr>
                <w:rStyle w:val="Lienhypertexte"/>
                <w:noProof/>
              </w:rPr>
              <w:t>12. Forme et contenu de l'offre</w:t>
            </w:r>
            <w:r w:rsidR="00010294">
              <w:rPr>
                <w:noProof/>
                <w:webHidden/>
              </w:rPr>
              <w:tab/>
            </w:r>
            <w:r>
              <w:rPr>
                <w:noProof/>
                <w:webHidden/>
              </w:rPr>
              <w:fldChar w:fldCharType="begin"/>
            </w:r>
            <w:r w:rsidR="00010294">
              <w:rPr>
                <w:noProof/>
                <w:webHidden/>
              </w:rPr>
              <w:instrText xml:space="preserve"> PAGEREF _Toc503796619 \h </w:instrText>
            </w:r>
            <w:r>
              <w:rPr>
                <w:noProof/>
                <w:webHidden/>
              </w:rPr>
            </w:r>
            <w:r>
              <w:rPr>
                <w:noProof/>
                <w:webHidden/>
              </w:rPr>
              <w:fldChar w:fldCharType="separate"/>
            </w:r>
            <w:r w:rsidR="00010294">
              <w:rPr>
                <w:noProof/>
                <w:webHidden/>
              </w:rPr>
              <w:t>10</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20" w:history="1">
            <w:r w:rsidR="00010294" w:rsidRPr="00BE52C4">
              <w:rPr>
                <w:rStyle w:val="Lienhypertexte"/>
                <w:noProof/>
              </w:rPr>
              <w:t>12.1. Forme de l’offre</w:t>
            </w:r>
            <w:r w:rsidR="00010294">
              <w:rPr>
                <w:noProof/>
                <w:webHidden/>
              </w:rPr>
              <w:tab/>
            </w:r>
            <w:r>
              <w:rPr>
                <w:noProof/>
                <w:webHidden/>
              </w:rPr>
              <w:fldChar w:fldCharType="begin"/>
            </w:r>
            <w:r w:rsidR="00010294">
              <w:rPr>
                <w:noProof/>
                <w:webHidden/>
              </w:rPr>
              <w:instrText xml:space="preserve"> PAGEREF _Toc503796620 \h </w:instrText>
            </w:r>
            <w:r>
              <w:rPr>
                <w:noProof/>
                <w:webHidden/>
              </w:rPr>
            </w:r>
            <w:r>
              <w:rPr>
                <w:noProof/>
                <w:webHidden/>
              </w:rPr>
              <w:fldChar w:fldCharType="separate"/>
            </w:r>
            <w:r w:rsidR="00010294">
              <w:rPr>
                <w:noProof/>
                <w:webHidden/>
              </w:rPr>
              <w:t>10</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21" w:history="1">
            <w:r w:rsidR="00010294" w:rsidRPr="00BE52C4">
              <w:rPr>
                <w:rStyle w:val="Lienhypertexte"/>
                <w:noProof/>
              </w:rPr>
              <w:t>12.2. Signature de l’offre</w:t>
            </w:r>
            <w:r w:rsidR="00010294">
              <w:rPr>
                <w:noProof/>
                <w:webHidden/>
              </w:rPr>
              <w:tab/>
            </w:r>
            <w:r>
              <w:rPr>
                <w:noProof/>
                <w:webHidden/>
              </w:rPr>
              <w:fldChar w:fldCharType="begin"/>
            </w:r>
            <w:r w:rsidR="00010294">
              <w:rPr>
                <w:noProof/>
                <w:webHidden/>
              </w:rPr>
              <w:instrText xml:space="preserve"> PAGEREF _Toc503796621 \h </w:instrText>
            </w:r>
            <w:r>
              <w:rPr>
                <w:noProof/>
                <w:webHidden/>
              </w:rPr>
            </w:r>
            <w:r>
              <w:rPr>
                <w:noProof/>
                <w:webHidden/>
              </w:rPr>
              <w:fldChar w:fldCharType="separate"/>
            </w:r>
            <w:r w:rsidR="00010294">
              <w:rPr>
                <w:noProof/>
                <w:webHidden/>
              </w:rPr>
              <w:t>10</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22" w:history="1">
            <w:r w:rsidR="00010294" w:rsidRPr="00BE52C4">
              <w:rPr>
                <w:rStyle w:val="Lienhypertexte"/>
                <w:noProof/>
              </w:rPr>
              <w:t>12.3. Documents, modèles et échantillons à joindre à l'offre</w:t>
            </w:r>
            <w:r w:rsidR="00010294">
              <w:rPr>
                <w:noProof/>
                <w:webHidden/>
              </w:rPr>
              <w:tab/>
            </w:r>
            <w:r>
              <w:rPr>
                <w:noProof/>
                <w:webHidden/>
              </w:rPr>
              <w:fldChar w:fldCharType="begin"/>
            </w:r>
            <w:r w:rsidR="00010294">
              <w:rPr>
                <w:noProof/>
                <w:webHidden/>
              </w:rPr>
              <w:instrText xml:space="preserve"> PAGEREF _Toc503796622 \h </w:instrText>
            </w:r>
            <w:r>
              <w:rPr>
                <w:noProof/>
                <w:webHidden/>
              </w:rPr>
            </w:r>
            <w:r>
              <w:rPr>
                <w:noProof/>
                <w:webHidden/>
              </w:rPr>
              <w:fldChar w:fldCharType="separate"/>
            </w:r>
            <w:r w:rsidR="00010294">
              <w:rPr>
                <w:noProof/>
                <w:webHidden/>
              </w:rPr>
              <w:t>10</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23" w:history="1">
            <w:r w:rsidR="00010294" w:rsidRPr="00BE52C4">
              <w:rPr>
                <w:rStyle w:val="Lienhypertexte"/>
                <w:noProof/>
              </w:rPr>
              <w:t>12.4. Congés annuels et jours de repos compensatoires</w:t>
            </w:r>
            <w:r w:rsidR="00010294">
              <w:rPr>
                <w:noProof/>
                <w:webHidden/>
              </w:rPr>
              <w:tab/>
            </w:r>
            <w:r>
              <w:rPr>
                <w:noProof/>
                <w:webHidden/>
              </w:rPr>
              <w:fldChar w:fldCharType="begin"/>
            </w:r>
            <w:r w:rsidR="00010294">
              <w:rPr>
                <w:noProof/>
                <w:webHidden/>
              </w:rPr>
              <w:instrText xml:space="preserve"> PAGEREF _Toc503796623 \h </w:instrText>
            </w:r>
            <w:r>
              <w:rPr>
                <w:noProof/>
                <w:webHidden/>
              </w:rPr>
            </w:r>
            <w:r>
              <w:rPr>
                <w:noProof/>
                <w:webHidden/>
              </w:rPr>
              <w:fldChar w:fldCharType="separate"/>
            </w:r>
            <w:r w:rsidR="00010294">
              <w:rPr>
                <w:noProof/>
                <w:webHidden/>
              </w:rPr>
              <w:t>11</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24" w:history="1">
            <w:r w:rsidR="00010294" w:rsidRPr="00BE52C4">
              <w:rPr>
                <w:rStyle w:val="Lienhypertexte"/>
                <w:noProof/>
              </w:rPr>
              <w:t>13. Dépôt des offres (cf. dispositions transitoires des articles 128 et 129 de l’ARP):</w:t>
            </w:r>
            <w:r w:rsidR="00010294">
              <w:rPr>
                <w:noProof/>
                <w:webHidden/>
              </w:rPr>
              <w:tab/>
            </w:r>
            <w:r>
              <w:rPr>
                <w:noProof/>
                <w:webHidden/>
              </w:rPr>
              <w:fldChar w:fldCharType="begin"/>
            </w:r>
            <w:r w:rsidR="00010294">
              <w:rPr>
                <w:noProof/>
                <w:webHidden/>
              </w:rPr>
              <w:instrText xml:space="preserve"> PAGEREF _Toc503796624 \h </w:instrText>
            </w:r>
            <w:r>
              <w:rPr>
                <w:noProof/>
                <w:webHidden/>
              </w:rPr>
            </w:r>
            <w:r>
              <w:rPr>
                <w:noProof/>
                <w:webHidden/>
              </w:rPr>
              <w:fldChar w:fldCharType="separate"/>
            </w:r>
            <w:r w:rsidR="00010294">
              <w:rPr>
                <w:noProof/>
                <w:webHidden/>
              </w:rPr>
              <w:t>11</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25" w:history="1">
            <w:r w:rsidR="00010294" w:rsidRPr="00BE52C4">
              <w:rPr>
                <w:rStyle w:val="Lienhypertexte"/>
                <w:noProof/>
              </w:rPr>
              <w:t>14. Répétition de travaux similaires (article 42 §1</w:t>
            </w:r>
            <w:r w:rsidR="00010294" w:rsidRPr="00BE52C4">
              <w:rPr>
                <w:rStyle w:val="Lienhypertexte"/>
                <w:noProof/>
                <w:vertAlign w:val="superscript"/>
              </w:rPr>
              <w:t>er</w:t>
            </w:r>
            <w:r w:rsidR="00010294" w:rsidRPr="00BE52C4">
              <w:rPr>
                <w:rStyle w:val="Lienhypertexte"/>
                <w:noProof/>
              </w:rPr>
              <w:t>, 2° de la loi)</w:t>
            </w:r>
            <w:r w:rsidR="00010294">
              <w:rPr>
                <w:noProof/>
                <w:webHidden/>
              </w:rPr>
              <w:tab/>
            </w:r>
            <w:r>
              <w:rPr>
                <w:noProof/>
                <w:webHidden/>
              </w:rPr>
              <w:fldChar w:fldCharType="begin"/>
            </w:r>
            <w:r w:rsidR="00010294">
              <w:rPr>
                <w:noProof/>
                <w:webHidden/>
              </w:rPr>
              <w:instrText xml:space="preserve"> PAGEREF _Toc503796625 \h </w:instrText>
            </w:r>
            <w:r>
              <w:rPr>
                <w:noProof/>
                <w:webHidden/>
              </w:rPr>
            </w:r>
            <w:r>
              <w:rPr>
                <w:noProof/>
                <w:webHidden/>
              </w:rPr>
              <w:fldChar w:fldCharType="separate"/>
            </w:r>
            <w:r w:rsidR="00010294">
              <w:rPr>
                <w:noProof/>
                <w:webHidden/>
              </w:rPr>
              <w:t>12</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26" w:history="1">
            <w:r w:rsidR="00010294" w:rsidRPr="00BE52C4">
              <w:rPr>
                <w:rStyle w:val="Lienhypertexte"/>
                <w:noProof/>
              </w:rPr>
              <w:t>15. Reconduction du marché (article 57 al. 2et 3 de la loi)</w:t>
            </w:r>
            <w:r w:rsidR="00010294">
              <w:rPr>
                <w:noProof/>
                <w:webHidden/>
              </w:rPr>
              <w:tab/>
            </w:r>
            <w:r>
              <w:rPr>
                <w:noProof/>
                <w:webHidden/>
              </w:rPr>
              <w:fldChar w:fldCharType="begin"/>
            </w:r>
            <w:r w:rsidR="00010294">
              <w:rPr>
                <w:noProof/>
                <w:webHidden/>
              </w:rPr>
              <w:instrText xml:space="preserve"> PAGEREF _Toc503796626 \h </w:instrText>
            </w:r>
            <w:r>
              <w:rPr>
                <w:noProof/>
                <w:webHidden/>
              </w:rPr>
            </w:r>
            <w:r>
              <w:rPr>
                <w:noProof/>
                <w:webHidden/>
              </w:rPr>
              <w:fldChar w:fldCharType="separate"/>
            </w:r>
            <w:r w:rsidR="00010294">
              <w:rPr>
                <w:noProof/>
                <w:webHidden/>
              </w:rPr>
              <w:t>12</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27" w:history="1">
            <w:r w:rsidR="00010294" w:rsidRPr="00BE52C4">
              <w:rPr>
                <w:rStyle w:val="Lienhypertexte"/>
                <w:noProof/>
              </w:rPr>
              <w:t>16. Renseignements utiles</w:t>
            </w:r>
            <w:r w:rsidR="00010294">
              <w:rPr>
                <w:noProof/>
                <w:webHidden/>
              </w:rPr>
              <w:tab/>
            </w:r>
            <w:r>
              <w:rPr>
                <w:noProof/>
                <w:webHidden/>
              </w:rPr>
              <w:fldChar w:fldCharType="begin"/>
            </w:r>
            <w:r w:rsidR="00010294">
              <w:rPr>
                <w:noProof/>
                <w:webHidden/>
              </w:rPr>
              <w:instrText xml:space="preserve"> PAGEREF _Toc503796627 \h </w:instrText>
            </w:r>
            <w:r>
              <w:rPr>
                <w:noProof/>
                <w:webHidden/>
              </w:rPr>
            </w:r>
            <w:r>
              <w:rPr>
                <w:noProof/>
                <w:webHidden/>
              </w:rPr>
              <w:fldChar w:fldCharType="separate"/>
            </w:r>
            <w:r w:rsidR="00010294">
              <w:rPr>
                <w:noProof/>
                <w:webHidden/>
              </w:rPr>
              <w:t>12</w:t>
            </w:r>
            <w:r>
              <w:rPr>
                <w:noProof/>
                <w:webHidden/>
              </w:rPr>
              <w:fldChar w:fldCharType="end"/>
            </w:r>
          </w:hyperlink>
        </w:p>
        <w:p w:rsidR="00010294" w:rsidRDefault="000249DB">
          <w:pPr>
            <w:pStyle w:val="TM1"/>
            <w:tabs>
              <w:tab w:val="right" w:leader="dot" w:pos="9736"/>
            </w:tabs>
            <w:rPr>
              <w:rFonts w:asciiTheme="minorHAnsi" w:eastAsiaTheme="minorEastAsia" w:hAnsiTheme="minorHAnsi" w:cstheme="minorBidi"/>
              <w:noProof/>
              <w:szCs w:val="22"/>
              <w:lang w:val="fr-BE"/>
            </w:rPr>
          </w:pPr>
          <w:hyperlink w:anchor="_Toc503796628" w:history="1">
            <w:r w:rsidR="00010294" w:rsidRPr="00BE52C4">
              <w:rPr>
                <w:rStyle w:val="Lienhypertexte"/>
                <w:noProof/>
              </w:rPr>
              <w:t>2</w:t>
            </w:r>
            <w:r w:rsidR="00010294" w:rsidRPr="00BE52C4">
              <w:rPr>
                <w:rStyle w:val="Lienhypertexte"/>
                <w:noProof/>
                <w:vertAlign w:val="superscript"/>
              </w:rPr>
              <w:t>ème</w:t>
            </w:r>
            <w:r w:rsidR="00010294" w:rsidRPr="00BE52C4">
              <w:rPr>
                <w:rStyle w:val="Lienhypertexte"/>
                <w:noProof/>
              </w:rPr>
              <w:t xml:space="preserve"> partie - Précisions et commentaires relatifs au chapitre A  – clauses administratives du CCT QUALIROUTES</w:t>
            </w:r>
            <w:r w:rsidR="00010294">
              <w:rPr>
                <w:noProof/>
                <w:webHidden/>
              </w:rPr>
              <w:tab/>
            </w:r>
            <w:r>
              <w:rPr>
                <w:noProof/>
                <w:webHidden/>
              </w:rPr>
              <w:fldChar w:fldCharType="begin"/>
            </w:r>
            <w:r w:rsidR="00010294">
              <w:rPr>
                <w:noProof/>
                <w:webHidden/>
              </w:rPr>
              <w:instrText xml:space="preserve"> PAGEREF _Toc503796628 \h </w:instrText>
            </w:r>
            <w:r>
              <w:rPr>
                <w:noProof/>
                <w:webHidden/>
              </w:rPr>
            </w:r>
            <w:r>
              <w:rPr>
                <w:noProof/>
                <w:webHidden/>
              </w:rPr>
              <w:fldChar w:fldCharType="separate"/>
            </w:r>
            <w:r w:rsidR="00010294">
              <w:rPr>
                <w:noProof/>
                <w:webHidden/>
              </w:rPr>
              <w:t>13</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29" w:history="1">
            <w:r w:rsidR="00010294" w:rsidRPr="00BE52C4">
              <w:rPr>
                <w:rStyle w:val="Lienhypertexte"/>
                <w:noProof/>
              </w:rPr>
              <w:t>A.R. DU 14 JANVIER 2013 (RGE)</w:t>
            </w:r>
            <w:r w:rsidR="00010294">
              <w:rPr>
                <w:noProof/>
                <w:webHidden/>
              </w:rPr>
              <w:tab/>
            </w:r>
            <w:r>
              <w:rPr>
                <w:noProof/>
                <w:webHidden/>
              </w:rPr>
              <w:fldChar w:fldCharType="begin"/>
            </w:r>
            <w:r w:rsidR="00010294">
              <w:rPr>
                <w:noProof/>
                <w:webHidden/>
              </w:rPr>
              <w:instrText xml:space="preserve"> PAGEREF _Toc503796629 \h </w:instrText>
            </w:r>
            <w:r>
              <w:rPr>
                <w:noProof/>
                <w:webHidden/>
              </w:rPr>
            </w:r>
            <w:r>
              <w:rPr>
                <w:noProof/>
                <w:webHidden/>
              </w:rPr>
              <w:fldChar w:fldCharType="separate"/>
            </w:r>
            <w:r w:rsidR="00010294">
              <w:rPr>
                <w:noProof/>
                <w:webHidden/>
              </w:rPr>
              <w:t>13</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30" w:history="1">
            <w:r w:rsidR="00010294" w:rsidRPr="00BE52C4">
              <w:rPr>
                <w:rStyle w:val="Lienhypertexte"/>
                <w:noProof/>
              </w:rPr>
              <w:t>Article 10: utilisation des moyens électroniques</w:t>
            </w:r>
            <w:r w:rsidR="00010294">
              <w:rPr>
                <w:noProof/>
                <w:webHidden/>
              </w:rPr>
              <w:tab/>
            </w:r>
            <w:r>
              <w:rPr>
                <w:noProof/>
                <w:webHidden/>
              </w:rPr>
              <w:fldChar w:fldCharType="begin"/>
            </w:r>
            <w:r w:rsidR="00010294">
              <w:rPr>
                <w:noProof/>
                <w:webHidden/>
              </w:rPr>
              <w:instrText xml:space="preserve"> PAGEREF _Toc503796630 \h </w:instrText>
            </w:r>
            <w:r>
              <w:rPr>
                <w:noProof/>
                <w:webHidden/>
              </w:rPr>
            </w:r>
            <w:r>
              <w:rPr>
                <w:noProof/>
                <w:webHidden/>
              </w:rPr>
              <w:fldChar w:fldCharType="separate"/>
            </w:r>
            <w:r w:rsidR="00010294">
              <w:rPr>
                <w:noProof/>
                <w:webHidden/>
              </w:rPr>
              <w:t>13</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31" w:history="1">
            <w:r w:rsidR="00010294" w:rsidRPr="00BE52C4">
              <w:rPr>
                <w:rStyle w:val="Lienhypertexte"/>
                <w:noProof/>
              </w:rPr>
              <w:t>Article 11: fonctionnaire dirigeant</w:t>
            </w:r>
            <w:r w:rsidR="00010294">
              <w:rPr>
                <w:noProof/>
                <w:webHidden/>
              </w:rPr>
              <w:tab/>
            </w:r>
            <w:r>
              <w:rPr>
                <w:noProof/>
                <w:webHidden/>
              </w:rPr>
              <w:fldChar w:fldCharType="begin"/>
            </w:r>
            <w:r w:rsidR="00010294">
              <w:rPr>
                <w:noProof/>
                <w:webHidden/>
              </w:rPr>
              <w:instrText xml:space="preserve"> PAGEREF _Toc503796631 \h </w:instrText>
            </w:r>
            <w:r>
              <w:rPr>
                <w:noProof/>
                <w:webHidden/>
              </w:rPr>
            </w:r>
            <w:r>
              <w:rPr>
                <w:noProof/>
                <w:webHidden/>
              </w:rPr>
              <w:fldChar w:fldCharType="separate"/>
            </w:r>
            <w:r w:rsidR="00010294">
              <w:rPr>
                <w:noProof/>
                <w:webHidden/>
              </w:rPr>
              <w:t>13</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32" w:history="1">
            <w:r w:rsidR="00010294" w:rsidRPr="00BE52C4">
              <w:rPr>
                <w:rStyle w:val="Lienhypertexte"/>
                <w:noProof/>
              </w:rPr>
              <w:t>Article 12/3: sous-traitance</w:t>
            </w:r>
            <w:r w:rsidR="00010294">
              <w:rPr>
                <w:noProof/>
                <w:webHidden/>
              </w:rPr>
              <w:tab/>
            </w:r>
            <w:r>
              <w:rPr>
                <w:noProof/>
                <w:webHidden/>
              </w:rPr>
              <w:fldChar w:fldCharType="begin"/>
            </w:r>
            <w:r w:rsidR="00010294">
              <w:rPr>
                <w:noProof/>
                <w:webHidden/>
              </w:rPr>
              <w:instrText xml:space="preserve"> PAGEREF _Toc503796632 \h </w:instrText>
            </w:r>
            <w:r>
              <w:rPr>
                <w:noProof/>
                <w:webHidden/>
              </w:rPr>
            </w:r>
            <w:r>
              <w:rPr>
                <w:noProof/>
                <w:webHidden/>
              </w:rPr>
              <w:fldChar w:fldCharType="separate"/>
            </w:r>
            <w:r w:rsidR="00010294">
              <w:rPr>
                <w:noProof/>
                <w:webHidden/>
              </w:rPr>
              <w:t>13</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33" w:history="1">
            <w:r w:rsidR="00010294" w:rsidRPr="00BE52C4">
              <w:rPr>
                <w:rStyle w:val="Lienhypertexte"/>
                <w:noProof/>
              </w:rPr>
              <w:t>Article 25: montant du cautionnement</w:t>
            </w:r>
            <w:r w:rsidR="00010294">
              <w:rPr>
                <w:noProof/>
                <w:webHidden/>
              </w:rPr>
              <w:tab/>
            </w:r>
            <w:r>
              <w:rPr>
                <w:noProof/>
                <w:webHidden/>
              </w:rPr>
              <w:fldChar w:fldCharType="begin"/>
            </w:r>
            <w:r w:rsidR="00010294">
              <w:rPr>
                <w:noProof/>
                <w:webHidden/>
              </w:rPr>
              <w:instrText xml:space="preserve"> PAGEREF _Toc503796633 \h </w:instrText>
            </w:r>
            <w:r>
              <w:rPr>
                <w:noProof/>
                <w:webHidden/>
              </w:rPr>
            </w:r>
            <w:r>
              <w:rPr>
                <w:noProof/>
                <w:webHidden/>
              </w:rPr>
              <w:fldChar w:fldCharType="separate"/>
            </w:r>
            <w:r w:rsidR="00010294">
              <w:rPr>
                <w:noProof/>
                <w:webHidden/>
              </w:rPr>
              <w:t>14</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34" w:history="1">
            <w:r w:rsidR="00010294" w:rsidRPr="00BE52C4">
              <w:rPr>
                <w:rStyle w:val="Lienhypertexte"/>
                <w:noProof/>
              </w:rPr>
              <w:t>Article 34: conformité de l’exécution - Système de gestion de la qualité</w:t>
            </w:r>
            <w:r w:rsidR="00010294">
              <w:rPr>
                <w:noProof/>
                <w:webHidden/>
              </w:rPr>
              <w:tab/>
            </w:r>
            <w:r>
              <w:rPr>
                <w:noProof/>
                <w:webHidden/>
              </w:rPr>
              <w:fldChar w:fldCharType="begin"/>
            </w:r>
            <w:r w:rsidR="00010294">
              <w:rPr>
                <w:noProof/>
                <w:webHidden/>
              </w:rPr>
              <w:instrText xml:space="preserve"> PAGEREF _Toc503796634 \h </w:instrText>
            </w:r>
            <w:r>
              <w:rPr>
                <w:noProof/>
                <w:webHidden/>
              </w:rPr>
            </w:r>
            <w:r>
              <w:rPr>
                <w:noProof/>
                <w:webHidden/>
              </w:rPr>
              <w:fldChar w:fldCharType="separate"/>
            </w:r>
            <w:r w:rsidR="00010294">
              <w:rPr>
                <w:noProof/>
                <w:webHidden/>
              </w:rPr>
              <w:t>14</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35" w:history="1">
            <w:r w:rsidR="00010294" w:rsidRPr="00BE52C4">
              <w:rPr>
                <w:rStyle w:val="Lienhypertexte"/>
                <w:noProof/>
              </w:rPr>
              <w:t>Article 35: plans, documents et objets établis par le pouvoir adjudicateur</w:t>
            </w:r>
            <w:r w:rsidR="00010294">
              <w:rPr>
                <w:noProof/>
                <w:webHidden/>
              </w:rPr>
              <w:tab/>
            </w:r>
            <w:r>
              <w:rPr>
                <w:noProof/>
                <w:webHidden/>
              </w:rPr>
              <w:fldChar w:fldCharType="begin"/>
            </w:r>
            <w:r w:rsidR="00010294">
              <w:rPr>
                <w:noProof/>
                <w:webHidden/>
              </w:rPr>
              <w:instrText xml:space="preserve"> PAGEREF _Toc503796635 \h </w:instrText>
            </w:r>
            <w:r>
              <w:rPr>
                <w:noProof/>
                <w:webHidden/>
              </w:rPr>
            </w:r>
            <w:r>
              <w:rPr>
                <w:noProof/>
                <w:webHidden/>
              </w:rPr>
              <w:fldChar w:fldCharType="separate"/>
            </w:r>
            <w:r w:rsidR="00010294">
              <w:rPr>
                <w:noProof/>
                <w:webHidden/>
              </w:rPr>
              <w:t>14</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36" w:history="1">
            <w:r w:rsidR="00010294" w:rsidRPr="00BE52C4">
              <w:rPr>
                <w:rStyle w:val="Lienhypertexte"/>
                <w:noProof/>
              </w:rPr>
              <w:t>Article 36: plans de détail et d'exécution établis par l’adjudicataire</w:t>
            </w:r>
            <w:r w:rsidR="00010294">
              <w:rPr>
                <w:noProof/>
                <w:webHidden/>
              </w:rPr>
              <w:tab/>
            </w:r>
            <w:r>
              <w:rPr>
                <w:noProof/>
                <w:webHidden/>
              </w:rPr>
              <w:fldChar w:fldCharType="begin"/>
            </w:r>
            <w:r w:rsidR="00010294">
              <w:rPr>
                <w:noProof/>
                <w:webHidden/>
              </w:rPr>
              <w:instrText xml:space="preserve"> PAGEREF _Toc503796636 \h </w:instrText>
            </w:r>
            <w:r>
              <w:rPr>
                <w:noProof/>
                <w:webHidden/>
              </w:rPr>
            </w:r>
            <w:r>
              <w:rPr>
                <w:noProof/>
                <w:webHidden/>
              </w:rPr>
              <w:fldChar w:fldCharType="separate"/>
            </w:r>
            <w:r w:rsidR="00010294">
              <w:rPr>
                <w:noProof/>
                <w:webHidden/>
              </w:rPr>
              <w:t>15</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37" w:history="1">
            <w:r w:rsidR="00010294" w:rsidRPr="00BE52C4">
              <w:rPr>
                <w:rStyle w:val="Lienhypertexte"/>
                <w:noProof/>
              </w:rPr>
              <w:t>Article 38/7: formules de révision</w:t>
            </w:r>
            <w:r w:rsidR="00010294">
              <w:rPr>
                <w:noProof/>
                <w:webHidden/>
              </w:rPr>
              <w:tab/>
            </w:r>
            <w:r>
              <w:rPr>
                <w:noProof/>
                <w:webHidden/>
              </w:rPr>
              <w:fldChar w:fldCharType="begin"/>
            </w:r>
            <w:r w:rsidR="00010294">
              <w:rPr>
                <w:noProof/>
                <w:webHidden/>
              </w:rPr>
              <w:instrText xml:space="preserve"> PAGEREF _Toc503796637 \h </w:instrText>
            </w:r>
            <w:r>
              <w:rPr>
                <w:noProof/>
                <w:webHidden/>
              </w:rPr>
            </w:r>
            <w:r>
              <w:rPr>
                <w:noProof/>
                <w:webHidden/>
              </w:rPr>
              <w:fldChar w:fldCharType="separate"/>
            </w:r>
            <w:r w:rsidR="00010294">
              <w:rPr>
                <w:noProof/>
                <w:webHidden/>
              </w:rPr>
              <w:t>15</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38" w:history="1">
            <w:r w:rsidR="00010294" w:rsidRPr="00BE52C4">
              <w:rPr>
                <w:rStyle w:val="Lienhypertexte"/>
                <w:noProof/>
              </w:rPr>
              <w:t>Article 42 §1: vérification des produits</w:t>
            </w:r>
            <w:r w:rsidR="00010294">
              <w:rPr>
                <w:noProof/>
                <w:webHidden/>
              </w:rPr>
              <w:tab/>
            </w:r>
            <w:r>
              <w:rPr>
                <w:noProof/>
                <w:webHidden/>
              </w:rPr>
              <w:fldChar w:fldCharType="begin"/>
            </w:r>
            <w:r w:rsidR="00010294">
              <w:rPr>
                <w:noProof/>
                <w:webHidden/>
              </w:rPr>
              <w:instrText xml:space="preserve"> PAGEREF _Toc503796638 \h </w:instrText>
            </w:r>
            <w:r>
              <w:rPr>
                <w:noProof/>
                <w:webHidden/>
              </w:rPr>
            </w:r>
            <w:r>
              <w:rPr>
                <w:noProof/>
                <w:webHidden/>
              </w:rPr>
              <w:fldChar w:fldCharType="separate"/>
            </w:r>
            <w:r w:rsidR="00010294">
              <w:rPr>
                <w:noProof/>
                <w:webHidden/>
              </w:rPr>
              <w:t>16</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39" w:history="1">
            <w:r w:rsidR="00010294" w:rsidRPr="00BE52C4">
              <w:rPr>
                <w:rStyle w:val="Lienhypertexte"/>
                <w:noProof/>
              </w:rPr>
              <w:t>Article 45: pénalités</w:t>
            </w:r>
            <w:r w:rsidR="00010294">
              <w:rPr>
                <w:noProof/>
                <w:webHidden/>
              </w:rPr>
              <w:tab/>
            </w:r>
            <w:r>
              <w:rPr>
                <w:noProof/>
                <w:webHidden/>
              </w:rPr>
              <w:fldChar w:fldCharType="begin"/>
            </w:r>
            <w:r w:rsidR="00010294">
              <w:rPr>
                <w:noProof/>
                <w:webHidden/>
              </w:rPr>
              <w:instrText xml:space="preserve"> PAGEREF _Toc503796639 \h </w:instrText>
            </w:r>
            <w:r>
              <w:rPr>
                <w:noProof/>
                <w:webHidden/>
              </w:rPr>
            </w:r>
            <w:r>
              <w:rPr>
                <w:noProof/>
                <w:webHidden/>
              </w:rPr>
              <w:fldChar w:fldCharType="separate"/>
            </w:r>
            <w:r w:rsidR="00010294">
              <w:rPr>
                <w:noProof/>
                <w:webHidden/>
              </w:rPr>
              <w:t>16</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40" w:history="1">
            <w:r w:rsidR="00010294" w:rsidRPr="00BE52C4">
              <w:rPr>
                <w:rStyle w:val="Lienhypertexte"/>
                <w:noProof/>
              </w:rPr>
              <w:t>Article 76: délais d'exécution</w:t>
            </w:r>
            <w:r w:rsidR="00010294">
              <w:rPr>
                <w:noProof/>
                <w:webHidden/>
              </w:rPr>
              <w:tab/>
            </w:r>
            <w:r>
              <w:rPr>
                <w:noProof/>
                <w:webHidden/>
              </w:rPr>
              <w:fldChar w:fldCharType="begin"/>
            </w:r>
            <w:r w:rsidR="00010294">
              <w:rPr>
                <w:noProof/>
                <w:webHidden/>
              </w:rPr>
              <w:instrText xml:space="preserve"> PAGEREF _Toc503796640 \h </w:instrText>
            </w:r>
            <w:r>
              <w:rPr>
                <w:noProof/>
                <w:webHidden/>
              </w:rPr>
            </w:r>
            <w:r>
              <w:rPr>
                <w:noProof/>
                <w:webHidden/>
              </w:rPr>
              <w:fldChar w:fldCharType="separate"/>
            </w:r>
            <w:r w:rsidR="00010294">
              <w:rPr>
                <w:noProof/>
                <w:webHidden/>
              </w:rPr>
              <w:t>16</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41" w:history="1">
            <w:r w:rsidR="00010294" w:rsidRPr="00BE52C4">
              <w:rPr>
                <w:rStyle w:val="Lienhypertexte"/>
                <w:noProof/>
              </w:rPr>
              <w:t>Article 79: organisation générale du chantier</w:t>
            </w:r>
            <w:r w:rsidR="00010294">
              <w:rPr>
                <w:noProof/>
                <w:webHidden/>
              </w:rPr>
              <w:tab/>
            </w:r>
            <w:r>
              <w:rPr>
                <w:noProof/>
                <w:webHidden/>
              </w:rPr>
              <w:fldChar w:fldCharType="begin"/>
            </w:r>
            <w:r w:rsidR="00010294">
              <w:rPr>
                <w:noProof/>
                <w:webHidden/>
              </w:rPr>
              <w:instrText xml:space="preserve"> PAGEREF _Toc503796641 \h </w:instrText>
            </w:r>
            <w:r>
              <w:rPr>
                <w:noProof/>
                <w:webHidden/>
              </w:rPr>
            </w:r>
            <w:r>
              <w:rPr>
                <w:noProof/>
                <w:webHidden/>
              </w:rPr>
              <w:fldChar w:fldCharType="separate"/>
            </w:r>
            <w:r w:rsidR="00010294">
              <w:rPr>
                <w:noProof/>
                <w:webHidden/>
              </w:rPr>
              <w:t>17</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42" w:history="1">
            <w:r w:rsidR="00010294" w:rsidRPr="00BE52C4">
              <w:rPr>
                <w:rStyle w:val="Lienhypertexte"/>
                <w:noProof/>
              </w:rPr>
              <w:t>Article 86 §2 et §6: amendes pour retard</w:t>
            </w:r>
            <w:r w:rsidR="00010294">
              <w:rPr>
                <w:noProof/>
                <w:webHidden/>
              </w:rPr>
              <w:tab/>
            </w:r>
            <w:r>
              <w:rPr>
                <w:noProof/>
                <w:webHidden/>
              </w:rPr>
              <w:fldChar w:fldCharType="begin"/>
            </w:r>
            <w:r w:rsidR="00010294">
              <w:rPr>
                <w:noProof/>
                <w:webHidden/>
              </w:rPr>
              <w:instrText xml:space="preserve"> PAGEREF _Toc503796642 \h </w:instrText>
            </w:r>
            <w:r>
              <w:rPr>
                <w:noProof/>
                <w:webHidden/>
              </w:rPr>
            </w:r>
            <w:r>
              <w:rPr>
                <w:noProof/>
                <w:webHidden/>
              </w:rPr>
              <w:fldChar w:fldCharType="separate"/>
            </w:r>
            <w:r w:rsidR="00010294">
              <w:rPr>
                <w:noProof/>
                <w:webHidden/>
              </w:rPr>
              <w:t>20</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43" w:history="1">
            <w:r w:rsidR="00010294" w:rsidRPr="00BE52C4">
              <w:rPr>
                <w:rStyle w:val="Lienhypertexte"/>
                <w:noProof/>
              </w:rPr>
              <w:t>Article 86 § 5: amendes pour retard</w:t>
            </w:r>
            <w:r w:rsidR="00010294">
              <w:rPr>
                <w:noProof/>
                <w:webHidden/>
              </w:rPr>
              <w:tab/>
            </w:r>
            <w:r>
              <w:rPr>
                <w:noProof/>
                <w:webHidden/>
              </w:rPr>
              <w:fldChar w:fldCharType="begin"/>
            </w:r>
            <w:r w:rsidR="00010294">
              <w:rPr>
                <w:noProof/>
                <w:webHidden/>
              </w:rPr>
              <w:instrText xml:space="preserve"> PAGEREF _Toc503796643 \h </w:instrText>
            </w:r>
            <w:r>
              <w:rPr>
                <w:noProof/>
                <w:webHidden/>
              </w:rPr>
            </w:r>
            <w:r>
              <w:rPr>
                <w:noProof/>
                <w:webHidden/>
              </w:rPr>
              <w:fldChar w:fldCharType="separate"/>
            </w:r>
            <w:r w:rsidR="00010294">
              <w:rPr>
                <w:noProof/>
                <w:webHidden/>
              </w:rPr>
              <w:t>20</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44" w:history="1">
            <w:r w:rsidR="00010294" w:rsidRPr="00BE52C4">
              <w:rPr>
                <w:rStyle w:val="Lienhypertexte"/>
                <w:noProof/>
              </w:rPr>
              <w:t>Article 92 § 2: réceptions et garantie</w:t>
            </w:r>
            <w:r w:rsidR="00010294">
              <w:rPr>
                <w:noProof/>
                <w:webHidden/>
              </w:rPr>
              <w:tab/>
            </w:r>
            <w:r>
              <w:rPr>
                <w:noProof/>
                <w:webHidden/>
              </w:rPr>
              <w:fldChar w:fldCharType="begin"/>
            </w:r>
            <w:r w:rsidR="00010294">
              <w:rPr>
                <w:noProof/>
                <w:webHidden/>
              </w:rPr>
              <w:instrText xml:space="preserve"> PAGEREF _Toc503796644 \h </w:instrText>
            </w:r>
            <w:r>
              <w:rPr>
                <w:noProof/>
                <w:webHidden/>
              </w:rPr>
            </w:r>
            <w:r>
              <w:rPr>
                <w:noProof/>
                <w:webHidden/>
              </w:rPr>
              <w:fldChar w:fldCharType="separate"/>
            </w:r>
            <w:r w:rsidR="00010294">
              <w:rPr>
                <w:noProof/>
                <w:webHidden/>
              </w:rPr>
              <w:t>20</w:t>
            </w:r>
            <w:r>
              <w:rPr>
                <w:noProof/>
                <w:webHidden/>
              </w:rPr>
              <w:fldChar w:fldCharType="end"/>
            </w:r>
          </w:hyperlink>
        </w:p>
        <w:p w:rsidR="00010294" w:rsidRDefault="000249DB">
          <w:pPr>
            <w:pStyle w:val="TM1"/>
            <w:tabs>
              <w:tab w:val="right" w:leader="dot" w:pos="9736"/>
            </w:tabs>
            <w:rPr>
              <w:rFonts w:asciiTheme="minorHAnsi" w:eastAsiaTheme="minorEastAsia" w:hAnsiTheme="minorHAnsi" w:cstheme="minorBidi"/>
              <w:noProof/>
              <w:szCs w:val="22"/>
              <w:lang w:val="fr-BE"/>
            </w:rPr>
          </w:pPr>
          <w:hyperlink w:anchor="_Toc503796645" w:history="1">
            <w:r w:rsidR="00010294" w:rsidRPr="00BE52C4">
              <w:rPr>
                <w:rStyle w:val="Lienhypertexte"/>
                <w:noProof/>
              </w:rPr>
              <w:t>3</w:t>
            </w:r>
            <w:r w:rsidR="00010294" w:rsidRPr="00BE52C4">
              <w:rPr>
                <w:rStyle w:val="Lienhypertexte"/>
                <w:noProof/>
                <w:vertAlign w:val="superscript"/>
              </w:rPr>
              <w:t>ème</w:t>
            </w:r>
            <w:r w:rsidR="00010294" w:rsidRPr="00BE52C4">
              <w:rPr>
                <w:rStyle w:val="Lienhypertexte"/>
                <w:noProof/>
              </w:rPr>
              <w:t xml:space="preserve"> partie – Clauses techniques</w:t>
            </w:r>
            <w:r w:rsidR="00010294">
              <w:rPr>
                <w:noProof/>
                <w:webHidden/>
              </w:rPr>
              <w:tab/>
            </w:r>
            <w:r>
              <w:rPr>
                <w:noProof/>
                <w:webHidden/>
              </w:rPr>
              <w:fldChar w:fldCharType="begin"/>
            </w:r>
            <w:r w:rsidR="00010294">
              <w:rPr>
                <w:noProof/>
                <w:webHidden/>
              </w:rPr>
              <w:instrText xml:space="preserve"> PAGEREF _Toc503796645 \h </w:instrText>
            </w:r>
            <w:r>
              <w:rPr>
                <w:noProof/>
                <w:webHidden/>
              </w:rPr>
            </w:r>
            <w:r>
              <w:rPr>
                <w:noProof/>
                <w:webHidden/>
              </w:rPr>
              <w:fldChar w:fldCharType="separate"/>
            </w:r>
            <w:r w:rsidR="00010294">
              <w:rPr>
                <w:noProof/>
                <w:webHidden/>
              </w:rPr>
              <w:t>21</w:t>
            </w:r>
            <w:r>
              <w:rPr>
                <w:noProof/>
                <w:webHidden/>
              </w:rPr>
              <w:fldChar w:fldCharType="end"/>
            </w:r>
          </w:hyperlink>
        </w:p>
        <w:p w:rsidR="00010294" w:rsidRDefault="000249DB">
          <w:pPr>
            <w:pStyle w:val="TM1"/>
            <w:tabs>
              <w:tab w:val="right" w:leader="dot" w:pos="9736"/>
            </w:tabs>
            <w:rPr>
              <w:rFonts w:asciiTheme="minorHAnsi" w:eastAsiaTheme="minorEastAsia" w:hAnsiTheme="minorHAnsi" w:cstheme="minorBidi"/>
              <w:noProof/>
              <w:szCs w:val="22"/>
              <w:lang w:val="fr-BE"/>
            </w:rPr>
          </w:pPr>
          <w:hyperlink w:anchor="_Toc503796646" w:history="1">
            <w:r w:rsidR="00010294" w:rsidRPr="00BE52C4">
              <w:rPr>
                <w:rStyle w:val="Lienhypertexte"/>
                <w:noProof/>
              </w:rPr>
              <w:t>Précisions et commentaires relatifs au chapitre B  Terminologie du CCT QUALIROUTES</w:t>
            </w:r>
            <w:r w:rsidR="00010294">
              <w:rPr>
                <w:noProof/>
                <w:webHidden/>
              </w:rPr>
              <w:tab/>
            </w:r>
            <w:r>
              <w:rPr>
                <w:noProof/>
                <w:webHidden/>
              </w:rPr>
              <w:fldChar w:fldCharType="begin"/>
            </w:r>
            <w:r w:rsidR="00010294">
              <w:rPr>
                <w:noProof/>
                <w:webHidden/>
              </w:rPr>
              <w:instrText xml:space="preserve"> PAGEREF _Toc503796646 \h </w:instrText>
            </w:r>
            <w:r>
              <w:rPr>
                <w:noProof/>
                <w:webHidden/>
              </w:rPr>
            </w:r>
            <w:r>
              <w:rPr>
                <w:noProof/>
                <w:webHidden/>
              </w:rPr>
              <w:fldChar w:fldCharType="separate"/>
            </w:r>
            <w:r w:rsidR="00010294">
              <w:rPr>
                <w:noProof/>
                <w:webHidden/>
              </w:rPr>
              <w:t>21</w:t>
            </w:r>
            <w:r>
              <w:rPr>
                <w:noProof/>
                <w:webHidden/>
              </w:rPr>
              <w:fldChar w:fldCharType="end"/>
            </w:r>
          </w:hyperlink>
        </w:p>
        <w:p w:rsidR="00010294" w:rsidRDefault="000249DB">
          <w:pPr>
            <w:pStyle w:val="TM2"/>
            <w:tabs>
              <w:tab w:val="right" w:leader="dot" w:pos="9736"/>
            </w:tabs>
            <w:rPr>
              <w:rFonts w:asciiTheme="minorHAnsi" w:eastAsiaTheme="minorEastAsia" w:hAnsiTheme="minorHAnsi" w:cstheme="minorBidi"/>
              <w:noProof/>
              <w:szCs w:val="22"/>
              <w:lang w:val="fr-BE"/>
            </w:rPr>
          </w:pPr>
          <w:hyperlink w:anchor="_Toc503796647" w:history="1">
            <w:r w:rsidR="00010294" w:rsidRPr="00BE52C4">
              <w:rPr>
                <w:rStyle w:val="Lienhypertexte"/>
                <w:noProof/>
              </w:rPr>
              <w:t>B. 1. Classification des routes</w:t>
            </w:r>
            <w:r w:rsidR="00010294">
              <w:rPr>
                <w:noProof/>
                <w:webHidden/>
              </w:rPr>
              <w:tab/>
            </w:r>
            <w:r>
              <w:rPr>
                <w:noProof/>
                <w:webHidden/>
              </w:rPr>
              <w:fldChar w:fldCharType="begin"/>
            </w:r>
            <w:r w:rsidR="00010294">
              <w:rPr>
                <w:noProof/>
                <w:webHidden/>
              </w:rPr>
              <w:instrText xml:space="preserve"> PAGEREF _Toc503796647 \h </w:instrText>
            </w:r>
            <w:r>
              <w:rPr>
                <w:noProof/>
                <w:webHidden/>
              </w:rPr>
            </w:r>
            <w:r>
              <w:rPr>
                <w:noProof/>
                <w:webHidden/>
              </w:rPr>
              <w:fldChar w:fldCharType="separate"/>
            </w:r>
            <w:r w:rsidR="00010294">
              <w:rPr>
                <w:noProof/>
                <w:webHidden/>
              </w:rPr>
              <w:t>21</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48" w:history="1">
            <w:r w:rsidR="00010294" w:rsidRPr="00BE52C4">
              <w:rPr>
                <w:rStyle w:val="Lienhypertexte"/>
                <w:noProof/>
              </w:rPr>
              <w:t>B. 3.11. Lexique - Dépôt</w:t>
            </w:r>
            <w:r w:rsidR="00010294">
              <w:rPr>
                <w:noProof/>
                <w:webHidden/>
              </w:rPr>
              <w:tab/>
            </w:r>
            <w:r>
              <w:rPr>
                <w:noProof/>
                <w:webHidden/>
              </w:rPr>
              <w:fldChar w:fldCharType="begin"/>
            </w:r>
            <w:r w:rsidR="00010294">
              <w:rPr>
                <w:noProof/>
                <w:webHidden/>
              </w:rPr>
              <w:instrText xml:space="preserve"> PAGEREF _Toc503796648 \h </w:instrText>
            </w:r>
            <w:r>
              <w:rPr>
                <w:noProof/>
                <w:webHidden/>
              </w:rPr>
            </w:r>
            <w:r>
              <w:rPr>
                <w:noProof/>
                <w:webHidden/>
              </w:rPr>
              <w:fldChar w:fldCharType="separate"/>
            </w:r>
            <w:r w:rsidR="00010294">
              <w:rPr>
                <w:noProof/>
                <w:webHidden/>
              </w:rPr>
              <w:t>21</w:t>
            </w:r>
            <w:r>
              <w:rPr>
                <w:noProof/>
                <w:webHidden/>
              </w:rPr>
              <w:fldChar w:fldCharType="end"/>
            </w:r>
          </w:hyperlink>
        </w:p>
        <w:p w:rsidR="00010294" w:rsidRDefault="000249DB">
          <w:pPr>
            <w:pStyle w:val="TM1"/>
            <w:tabs>
              <w:tab w:val="right" w:leader="dot" w:pos="9736"/>
            </w:tabs>
            <w:rPr>
              <w:rFonts w:asciiTheme="minorHAnsi" w:eastAsiaTheme="minorEastAsia" w:hAnsiTheme="minorHAnsi" w:cstheme="minorBidi"/>
              <w:noProof/>
              <w:szCs w:val="22"/>
              <w:lang w:val="fr-BE"/>
            </w:rPr>
          </w:pPr>
          <w:hyperlink w:anchor="_Toc503796649" w:history="1">
            <w:r w:rsidR="00010294" w:rsidRPr="00BE52C4">
              <w:rPr>
                <w:rStyle w:val="Lienhypertexte"/>
                <w:noProof/>
              </w:rPr>
              <w:t>Précisions et commentaires relatifs au chapitre D  Travaux préparatoires et démolitions sélectives du CCT QUALIROUTES</w:t>
            </w:r>
            <w:r w:rsidR="00010294">
              <w:rPr>
                <w:noProof/>
                <w:webHidden/>
              </w:rPr>
              <w:tab/>
            </w:r>
            <w:r>
              <w:rPr>
                <w:noProof/>
                <w:webHidden/>
              </w:rPr>
              <w:fldChar w:fldCharType="begin"/>
            </w:r>
            <w:r w:rsidR="00010294">
              <w:rPr>
                <w:noProof/>
                <w:webHidden/>
              </w:rPr>
              <w:instrText xml:space="preserve"> PAGEREF _Toc503796649 \h </w:instrText>
            </w:r>
            <w:r>
              <w:rPr>
                <w:noProof/>
                <w:webHidden/>
              </w:rPr>
            </w:r>
            <w:r>
              <w:rPr>
                <w:noProof/>
                <w:webHidden/>
              </w:rPr>
              <w:fldChar w:fldCharType="separate"/>
            </w:r>
            <w:r w:rsidR="00010294">
              <w:rPr>
                <w:noProof/>
                <w:webHidden/>
              </w:rPr>
              <w:t>22</w:t>
            </w:r>
            <w:r>
              <w:rPr>
                <w:noProof/>
                <w:webHidden/>
              </w:rPr>
              <w:fldChar w:fldCharType="end"/>
            </w:r>
          </w:hyperlink>
        </w:p>
        <w:p w:rsidR="00010294" w:rsidRDefault="000249DB">
          <w:pPr>
            <w:pStyle w:val="TM1"/>
            <w:tabs>
              <w:tab w:val="right" w:leader="dot" w:pos="9736"/>
            </w:tabs>
            <w:rPr>
              <w:rFonts w:asciiTheme="minorHAnsi" w:eastAsiaTheme="minorEastAsia" w:hAnsiTheme="minorHAnsi" w:cstheme="minorBidi"/>
              <w:noProof/>
              <w:szCs w:val="22"/>
              <w:lang w:val="fr-BE"/>
            </w:rPr>
          </w:pPr>
          <w:hyperlink w:anchor="_Toc503796650" w:history="1">
            <w:r w:rsidR="00010294" w:rsidRPr="00BE52C4">
              <w:rPr>
                <w:rStyle w:val="Lienhypertexte"/>
                <w:noProof/>
              </w:rPr>
              <w:t>Précisions et commentaires relatifs au chapitre E  Terrassements généraux et particuliers du CCT QUALIROUTES</w:t>
            </w:r>
            <w:r w:rsidR="00010294">
              <w:rPr>
                <w:noProof/>
                <w:webHidden/>
              </w:rPr>
              <w:tab/>
            </w:r>
            <w:r>
              <w:rPr>
                <w:noProof/>
                <w:webHidden/>
              </w:rPr>
              <w:fldChar w:fldCharType="begin"/>
            </w:r>
            <w:r w:rsidR="00010294">
              <w:rPr>
                <w:noProof/>
                <w:webHidden/>
              </w:rPr>
              <w:instrText xml:space="preserve"> PAGEREF _Toc503796650 \h </w:instrText>
            </w:r>
            <w:r>
              <w:rPr>
                <w:noProof/>
                <w:webHidden/>
              </w:rPr>
            </w:r>
            <w:r>
              <w:rPr>
                <w:noProof/>
                <w:webHidden/>
              </w:rPr>
              <w:fldChar w:fldCharType="separate"/>
            </w:r>
            <w:r w:rsidR="00010294">
              <w:rPr>
                <w:noProof/>
                <w:webHidden/>
              </w:rPr>
              <w:t>23</w:t>
            </w:r>
            <w:r>
              <w:rPr>
                <w:noProof/>
                <w:webHidden/>
              </w:rPr>
              <w:fldChar w:fldCharType="end"/>
            </w:r>
          </w:hyperlink>
        </w:p>
        <w:p w:rsidR="00010294" w:rsidRDefault="000249DB">
          <w:pPr>
            <w:pStyle w:val="TM1"/>
            <w:tabs>
              <w:tab w:val="right" w:leader="dot" w:pos="9736"/>
            </w:tabs>
            <w:rPr>
              <w:rFonts w:asciiTheme="minorHAnsi" w:eastAsiaTheme="minorEastAsia" w:hAnsiTheme="minorHAnsi" w:cstheme="minorBidi"/>
              <w:noProof/>
              <w:szCs w:val="22"/>
              <w:lang w:val="fr-BE"/>
            </w:rPr>
          </w:pPr>
          <w:hyperlink w:anchor="_Toc503796651" w:history="1">
            <w:r w:rsidR="00010294" w:rsidRPr="00BE52C4">
              <w:rPr>
                <w:rStyle w:val="Lienhypertexte"/>
                <w:noProof/>
              </w:rPr>
              <w:t>Précisions et commentaires relatifs au chapitre F  sous-fondations et fondations du CCT QUALIROUTES</w:t>
            </w:r>
            <w:r w:rsidR="00010294">
              <w:rPr>
                <w:noProof/>
                <w:webHidden/>
              </w:rPr>
              <w:tab/>
            </w:r>
            <w:r>
              <w:rPr>
                <w:noProof/>
                <w:webHidden/>
              </w:rPr>
              <w:fldChar w:fldCharType="begin"/>
            </w:r>
            <w:r w:rsidR="00010294">
              <w:rPr>
                <w:noProof/>
                <w:webHidden/>
              </w:rPr>
              <w:instrText xml:space="preserve"> PAGEREF _Toc503796651 \h </w:instrText>
            </w:r>
            <w:r>
              <w:rPr>
                <w:noProof/>
                <w:webHidden/>
              </w:rPr>
            </w:r>
            <w:r>
              <w:rPr>
                <w:noProof/>
                <w:webHidden/>
              </w:rPr>
              <w:fldChar w:fldCharType="separate"/>
            </w:r>
            <w:r w:rsidR="00010294">
              <w:rPr>
                <w:noProof/>
                <w:webHidden/>
              </w:rPr>
              <w:t>24</w:t>
            </w:r>
            <w:r>
              <w:rPr>
                <w:noProof/>
                <w:webHidden/>
              </w:rPr>
              <w:fldChar w:fldCharType="end"/>
            </w:r>
          </w:hyperlink>
        </w:p>
        <w:p w:rsidR="00010294" w:rsidRDefault="000249DB">
          <w:pPr>
            <w:pStyle w:val="TM1"/>
            <w:tabs>
              <w:tab w:val="right" w:leader="dot" w:pos="9736"/>
            </w:tabs>
            <w:rPr>
              <w:rFonts w:asciiTheme="minorHAnsi" w:eastAsiaTheme="minorEastAsia" w:hAnsiTheme="minorHAnsi" w:cstheme="minorBidi"/>
              <w:noProof/>
              <w:szCs w:val="22"/>
              <w:lang w:val="fr-BE"/>
            </w:rPr>
          </w:pPr>
          <w:hyperlink w:anchor="_Toc503796652" w:history="1">
            <w:r w:rsidR="00010294" w:rsidRPr="00BE52C4">
              <w:rPr>
                <w:rStyle w:val="Lienhypertexte"/>
                <w:noProof/>
              </w:rPr>
              <w:t>Précisions et commentaires relatifs au chapitre G  Revêtements du CCT QUALIROUTES</w:t>
            </w:r>
            <w:r w:rsidR="00010294">
              <w:rPr>
                <w:noProof/>
                <w:webHidden/>
              </w:rPr>
              <w:tab/>
            </w:r>
            <w:r>
              <w:rPr>
                <w:noProof/>
                <w:webHidden/>
              </w:rPr>
              <w:fldChar w:fldCharType="begin"/>
            </w:r>
            <w:r w:rsidR="00010294">
              <w:rPr>
                <w:noProof/>
                <w:webHidden/>
              </w:rPr>
              <w:instrText xml:space="preserve"> PAGEREF _Toc503796652 \h </w:instrText>
            </w:r>
            <w:r>
              <w:rPr>
                <w:noProof/>
                <w:webHidden/>
              </w:rPr>
            </w:r>
            <w:r>
              <w:rPr>
                <w:noProof/>
                <w:webHidden/>
              </w:rPr>
              <w:fldChar w:fldCharType="separate"/>
            </w:r>
            <w:r w:rsidR="00010294">
              <w:rPr>
                <w:noProof/>
                <w:webHidden/>
              </w:rPr>
              <w:t>25</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53" w:history="1">
            <w:r w:rsidR="00010294" w:rsidRPr="00BE52C4">
              <w:rPr>
                <w:rStyle w:val="Lienhypertexte"/>
                <w:noProof/>
              </w:rPr>
              <w:t>G. 3.4.1. Enduits scellés par un MBCF - enduits superficiels</w:t>
            </w:r>
            <w:r w:rsidR="00010294">
              <w:rPr>
                <w:noProof/>
                <w:webHidden/>
              </w:rPr>
              <w:tab/>
            </w:r>
            <w:r>
              <w:rPr>
                <w:noProof/>
                <w:webHidden/>
              </w:rPr>
              <w:fldChar w:fldCharType="begin"/>
            </w:r>
            <w:r w:rsidR="00010294">
              <w:rPr>
                <w:noProof/>
                <w:webHidden/>
              </w:rPr>
              <w:instrText xml:space="preserve"> PAGEREF _Toc503796653 \h </w:instrText>
            </w:r>
            <w:r>
              <w:rPr>
                <w:noProof/>
                <w:webHidden/>
              </w:rPr>
            </w:r>
            <w:r>
              <w:rPr>
                <w:noProof/>
                <w:webHidden/>
              </w:rPr>
              <w:fldChar w:fldCharType="separate"/>
            </w:r>
            <w:r w:rsidR="00010294">
              <w:rPr>
                <w:noProof/>
                <w:webHidden/>
              </w:rPr>
              <w:t>28</w:t>
            </w:r>
            <w:r>
              <w:rPr>
                <w:noProof/>
                <w:webHidden/>
              </w:rPr>
              <w:fldChar w:fldCharType="end"/>
            </w:r>
          </w:hyperlink>
        </w:p>
        <w:p w:rsidR="00010294" w:rsidRDefault="000249DB">
          <w:pPr>
            <w:pStyle w:val="TM3"/>
            <w:tabs>
              <w:tab w:val="right" w:leader="dot" w:pos="9736"/>
            </w:tabs>
            <w:rPr>
              <w:rFonts w:asciiTheme="minorHAnsi" w:eastAsiaTheme="minorEastAsia" w:hAnsiTheme="minorHAnsi" w:cstheme="minorBidi"/>
              <w:noProof/>
              <w:szCs w:val="22"/>
              <w:lang w:val="fr-BE"/>
            </w:rPr>
          </w:pPr>
          <w:hyperlink w:anchor="_Toc503796654" w:history="1">
            <w:r w:rsidR="00010294" w:rsidRPr="00BE52C4">
              <w:rPr>
                <w:rStyle w:val="Lienhypertexte"/>
                <w:noProof/>
              </w:rPr>
              <w:t>G. 3.4.2. Matériaux bitumineux coulés à froid (MBCF)</w:t>
            </w:r>
            <w:r w:rsidR="00010294">
              <w:rPr>
                <w:noProof/>
                <w:webHidden/>
              </w:rPr>
              <w:tab/>
            </w:r>
            <w:r>
              <w:rPr>
                <w:noProof/>
                <w:webHidden/>
              </w:rPr>
              <w:fldChar w:fldCharType="begin"/>
            </w:r>
            <w:r w:rsidR="00010294">
              <w:rPr>
                <w:noProof/>
                <w:webHidden/>
              </w:rPr>
              <w:instrText xml:space="preserve"> PAGEREF _Toc503796654 \h </w:instrText>
            </w:r>
            <w:r>
              <w:rPr>
                <w:noProof/>
                <w:webHidden/>
              </w:rPr>
            </w:r>
            <w:r>
              <w:rPr>
                <w:noProof/>
                <w:webHidden/>
              </w:rPr>
              <w:fldChar w:fldCharType="separate"/>
            </w:r>
            <w:r w:rsidR="00010294">
              <w:rPr>
                <w:noProof/>
                <w:webHidden/>
              </w:rPr>
              <w:t>28</w:t>
            </w:r>
            <w:r>
              <w:rPr>
                <w:noProof/>
                <w:webHidden/>
              </w:rPr>
              <w:fldChar w:fldCharType="end"/>
            </w:r>
          </w:hyperlink>
        </w:p>
        <w:p w:rsidR="00010294" w:rsidRDefault="000249DB">
          <w:pPr>
            <w:pStyle w:val="TM1"/>
            <w:tabs>
              <w:tab w:val="right" w:leader="dot" w:pos="9736"/>
            </w:tabs>
            <w:rPr>
              <w:rFonts w:asciiTheme="minorHAnsi" w:eastAsiaTheme="minorEastAsia" w:hAnsiTheme="minorHAnsi" w:cstheme="minorBidi"/>
              <w:noProof/>
              <w:szCs w:val="22"/>
              <w:lang w:val="fr-BE"/>
            </w:rPr>
          </w:pPr>
          <w:hyperlink w:anchor="_Toc503796655" w:history="1">
            <w:r w:rsidR="00010294" w:rsidRPr="00BE52C4">
              <w:rPr>
                <w:rStyle w:val="Lienhypertexte"/>
                <w:noProof/>
                <w:lang w:val="fr-BE"/>
              </w:rPr>
              <w:t>OFFRE</w:t>
            </w:r>
            <w:r w:rsidR="00010294">
              <w:rPr>
                <w:noProof/>
                <w:webHidden/>
              </w:rPr>
              <w:tab/>
            </w:r>
            <w:r>
              <w:rPr>
                <w:noProof/>
                <w:webHidden/>
              </w:rPr>
              <w:fldChar w:fldCharType="begin"/>
            </w:r>
            <w:r w:rsidR="00010294">
              <w:rPr>
                <w:noProof/>
                <w:webHidden/>
              </w:rPr>
              <w:instrText xml:space="preserve"> PAGEREF _Toc503796655 \h </w:instrText>
            </w:r>
            <w:r>
              <w:rPr>
                <w:noProof/>
                <w:webHidden/>
              </w:rPr>
            </w:r>
            <w:r>
              <w:rPr>
                <w:noProof/>
                <w:webHidden/>
              </w:rPr>
              <w:fldChar w:fldCharType="separate"/>
            </w:r>
            <w:r w:rsidR="00010294">
              <w:rPr>
                <w:noProof/>
                <w:webHidden/>
              </w:rPr>
              <w:t>30</w:t>
            </w:r>
            <w:r>
              <w:rPr>
                <w:noProof/>
                <w:webHidden/>
              </w:rPr>
              <w:fldChar w:fldCharType="end"/>
            </w:r>
          </w:hyperlink>
        </w:p>
        <w:p w:rsidR="00A91145" w:rsidRPr="00BC3844" w:rsidRDefault="000249DB">
          <w:pPr>
            <w:rPr>
              <w:color w:val="FF0000"/>
            </w:rPr>
          </w:pPr>
          <w:r w:rsidRPr="007F0C4F">
            <w:rPr>
              <w:sz w:val="20"/>
            </w:rPr>
            <w:fldChar w:fldCharType="end"/>
          </w:r>
        </w:p>
      </w:sdtContent>
    </w:sdt>
    <w:p w:rsidR="00282CFE" w:rsidRDefault="00282CFE">
      <w:pPr>
        <w:spacing w:before="0" w:after="200" w:line="276" w:lineRule="auto"/>
        <w:jc w:val="left"/>
        <w:rPr>
          <w:rFonts w:cs="Arial"/>
          <w:sz w:val="24"/>
        </w:rPr>
      </w:pPr>
      <w:r>
        <w:rPr>
          <w:rFonts w:cs="Arial"/>
          <w:sz w:val="24"/>
        </w:rPr>
        <w:br w:type="page"/>
      </w:r>
    </w:p>
    <w:p w:rsidR="009E4F1B" w:rsidRPr="00F938BD" w:rsidRDefault="009E4F1B" w:rsidP="00F938BD">
      <w:pPr>
        <w:pStyle w:val="Titre"/>
      </w:pPr>
      <w:r w:rsidRPr="00F938BD">
        <w:lastRenderedPageBreak/>
        <w:t>Cahier spécial des charges n° ...</w:t>
      </w:r>
    </w:p>
    <w:p w:rsidR="009E4F1B" w:rsidRPr="00AD2228" w:rsidRDefault="00F3409E" w:rsidP="00F938BD">
      <w:pPr>
        <w:pStyle w:val="Titre1"/>
      </w:pPr>
      <w:bookmarkStart w:id="0" w:name="_Toc503796602"/>
      <w:r>
        <w:t>1</w:t>
      </w:r>
      <w:r w:rsidRPr="00F3409E">
        <w:rPr>
          <w:vertAlign w:val="superscript"/>
        </w:rPr>
        <w:t>ère</w:t>
      </w:r>
      <w:r>
        <w:t xml:space="preserve"> partie - </w:t>
      </w:r>
      <w:r w:rsidR="009E4F1B" w:rsidRPr="00AD2228">
        <w:t>Généralités</w:t>
      </w:r>
      <w:bookmarkEnd w:id="0"/>
    </w:p>
    <w:p w:rsidR="009E4F1B" w:rsidRPr="00AD2228" w:rsidRDefault="009E4F1B" w:rsidP="00F938BD">
      <w:pPr>
        <w:pStyle w:val="Titre2"/>
      </w:pPr>
      <w:bookmarkStart w:id="1" w:name="_Toc503796603"/>
      <w:r w:rsidRPr="009E4F1B">
        <w:t>1. Dérogations au CCT QUALIROUTES</w:t>
      </w:r>
      <w:bookmarkEnd w:id="1"/>
    </w:p>
    <w:p w:rsidR="00282CFE" w:rsidRDefault="00282CFE" w:rsidP="00282CFE">
      <w:pPr>
        <w:keepNext/>
        <w:pBdr>
          <w:top w:val="single" w:sz="12" w:space="1" w:color="auto"/>
          <w:left w:val="single" w:sz="12" w:space="4" w:color="auto"/>
          <w:bottom w:val="single" w:sz="12" w:space="1" w:color="auto"/>
          <w:right w:val="single" w:sz="12" w:space="4" w:color="auto"/>
        </w:pBdr>
      </w:pPr>
      <w:r>
        <w:t xml:space="preserve">Indiquer et motiver les éventuelles modifications apportées aux clauses administratives et techniques du CCT QUALIROUTES </w:t>
      </w:r>
      <w:r w:rsidRPr="005540E5">
        <w:t xml:space="preserve">ainsi que, le cas échéant, les dérogations à l’AR du 14 </w:t>
      </w:r>
      <w:r>
        <w:t>janvier 2013 qui sont propres à ce</w:t>
      </w:r>
      <w:r w:rsidRPr="005540E5">
        <w:t xml:space="preserve"> cahier spécial des charges (= autres que celles mentionnées sous 1.1.</w:t>
      </w:r>
      <w:r>
        <w:t xml:space="preserve">) </w:t>
      </w:r>
    </w:p>
    <w:p w:rsidR="00282CFE" w:rsidRDefault="00282CFE" w:rsidP="00282CFE">
      <w:pPr>
        <w:rPr>
          <w:i/>
        </w:rPr>
      </w:pPr>
      <w:r>
        <w:rPr>
          <w:i/>
        </w:rPr>
        <w:t>Il est rappelé que les dérogations aux clauses administratives et techniques doivent constituer l’exception. Toute dérogation doit être justifiée par les spécificités du marché.</w:t>
      </w:r>
    </w:p>
    <w:p w:rsidR="009E4F1B" w:rsidRPr="009E4F1B" w:rsidRDefault="009E4F1B" w:rsidP="00F938BD">
      <w:pPr>
        <w:pStyle w:val="Titre2"/>
      </w:pPr>
      <w:bookmarkStart w:id="2" w:name="_Toc503796604"/>
      <w:r>
        <w:t xml:space="preserve">2. </w:t>
      </w:r>
      <w:r w:rsidRPr="009E4F1B">
        <w:t>Pouvoir adjudicateur</w:t>
      </w:r>
      <w:bookmarkEnd w:id="2"/>
    </w:p>
    <w:p w:rsidR="009E4F1B" w:rsidRPr="00DE6D52" w:rsidRDefault="009E4F1B" w:rsidP="009E4F1B">
      <w:pPr>
        <w:pBdr>
          <w:top w:val="single" w:sz="12" w:space="1" w:color="auto"/>
          <w:left w:val="single" w:sz="12" w:space="1" w:color="auto"/>
          <w:bottom w:val="single" w:sz="12" w:space="1" w:color="auto"/>
          <w:right w:val="single" w:sz="12" w:space="1" w:color="auto"/>
        </w:pBdr>
      </w:pPr>
      <w:r w:rsidRPr="00DE6D52">
        <w:t>Indiquer l’entité juridique</w:t>
      </w:r>
      <w:r>
        <w:t xml:space="preserve"> (= disposant d’une personnalité juridique) puis le service responsable</w:t>
      </w:r>
    </w:p>
    <w:p w:rsidR="009E4F1B" w:rsidRDefault="009E4F1B" w:rsidP="009E4F1B">
      <w:pPr>
        <w:rPr>
          <w:i/>
        </w:rPr>
      </w:pPr>
      <w:r>
        <w:rPr>
          <w:i/>
        </w:rPr>
        <w:t>Exemple 2: Commune de …, représentée par…</w:t>
      </w:r>
    </w:p>
    <w:p w:rsidR="009E4F1B" w:rsidRDefault="009E4F1B" w:rsidP="00F938BD">
      <w:pPr>
        <w:pStyle w:val="Titre2"/>
      </w:pPr>
      <w:bookmarkStart w:id="3" w:name="_Toc503796605"/>
      <w:r w:rsidRPr="009E4F1B">
        <w:t>3.</w:t>
      </w:r>
      <w:r>
        <w:t xml:space="preserve"> </w:t>
      </w:r>
      <w:r w:rsidRPr="00C3765C">
        <w:t>Objet du marché et description des travaux</w:t>
      </w:r>
      <w:bookmarkEnd w:id="3"/>
    </w:p>
    <w:p w:rsidR="009E4F1B" w:rsidRDefault="009E4F1B" w:rsidP="009E4F1B">
      <w:pPr>
        <w:pBdr>
          <w:top w:val="single" w:sz="12" w:space="1" w:color="auto"/>
          <w:left w:val="single" w:sz="12" w:space="4" w:color="auto"/>
          <w:bottom w:val="single" w:sz="12" w:space="1" w:color="auto"/>
          <w:right w:val="single" w:sz="12" w:space="4" w:color="auto"/>
        </w:pBdr>
      </w:pPr>
      <w:r>
        <w:t>Indiquer:</w:t>
      </w:r>
    </w:p>
    <w:p w:rsidR="009E4F1B" w:rsidRDefault="009E4F1B" w:rsidP="009E4F1B">
      <w:pPr>
        <w:pBdr>
          <w:top w:val="single" w:sz="12" w:space="1" w:color="auto"/>
          <w:left w:val="single" w:sz="12" w:space="4" w:color="auto"/>
          <w:bottom w:val="single" w:sz="12" w:space="1" w:color="auto"/>
          <w:right w:val="single" w:sz="12" w:space="4" w:color="auto"/>
        </w:pBdr>
      </w:pPr>
      <w:r>
        <w:t>- Les parties principales du ou des ouvrages à réaliser</w:t>
      </w:r>
    </w:p>
    <w:p w:rsidR="009E4F1B" w:rsidRDefault="009E4F1B" w:rsidP="009E4F1B">
      <w:pPr>
        <w:pBdr>
          <w:top w:val="single" w:sz="12" w:space="1" w:color="auto"/>
          <w:left w:val="single" w:sz="12" w:space="4" w:color="auto"/>
          <w:bottom w:val="single" w:sz="12" w:space="1" w:color="auto"/>
          <w:right w:val="single" w:sz="12" w:space="4" w:color="auto"/>
        </w:pBdr>
      </w:pPr>
      <w:r>
        <w:t xml:space="preserve">- Le type de réseau </w:t>
      </w:r>
      <w:r w:rsidRPr="00A11922">
        <w:t xml:space="preserve">sur lequel s’effectuent les travaux, conformément </w:t>
      </w:r>
      <w:r w:rsidRPr="004F249B">
        <w:t xml:space="preserve">au B. 1. </w:t>
      </w:r>
      <w:proofErr w:type="gramStart"/>
      <w:r w:rsidRPr="004F249B">
        <w:t>du</w:t>
      </w:r>
      <w:proofErr w:type="gramEnd"/>
      <w:r w:rsidRPr="004F249B">
        <w:t xml:space="preserve"> CCT</w:t>
      </w:r>
      <w:r w:rsidRPr="00A11922">
        <w:t xml:space="preserve"> </w:t>
      </w:r>
      <w:r>
        <w:t>QUALIROUTES</w:t>
      </w:r>
    </w:p>
    <w:p w:rsidR="009E4F1B" w:rsidRDefault="009E4F1B" w:rsidP="009E4F1B">
      <w:pPr>
        <w:pBdr>
          <w:top w:val="single" w:sz="12" w:space="1" w:color="auto"/>
          <w:left w:val="single" w:sz="12" w:space="4" w:color="auto"/>
          <w:bottom w:val="single" w:sz="12" w:space="1" w:color="auto"/>
          <w:right w:val="single" w:sz="12" w:space="4" w:color="auto"/>
        </w:pBdr>
      </w:pPr>
      <w:r>
        <w:t>- Si le marché comporte plusieurs parties et/ou lots ou plusieurs phases ayant leur délai et leur montant propres, les décrire ici.</w:t>
      </w:r>
    </w:p>
    <w:p w:rsidR="009E4F1B" w:rsidRDefault="009E4F1B" w:rsidP="009E4F1B">
      <w:pPr>
        <w:pBdr>
          <w:top w:val="single" w:sz="12" w:space="1" w:color="auto"/>
          <w:left w:val="single" w:sz="12" w:space="4" w:color="auto"/>
          <w:bottom w:val="single" w:sz="12" w:space="1" w:color="auto"/>
          <w:right w:val="single" w:sz="12" w:space="4" w:color="auto"/>
        </w:pBdr>
      </w:pPr>
      <w:r>
        <w:t>- La clause antidumping suivante: "D</w:t>
      </w:r>
      <w:r w:rsidRPr="008A5CC2">
        <w:t>ans le cadre du présent marché, le pouvoir adjudicateur souhaite lutter contre le dumping social et la fraude sociale</w:t>
      </w:r>
      <w:r>
        <w:t>".</w:t>
      </w:r>
    </w:p>
    <w:p w:rsidR="009E4F1B" w:rsidRDefault="009E4F1B" w:rsidP="009E4F1B">
      <w:pPr>
        <w:pBdr>
          <w:top w:val="single" w:sz="12" w:space="1" w:color="auto"/>
          <w:left w:val="single" w:sz="12" w:space="4" w:color="auto"/>
          <w:bottom w:val="single" w:sz="12" w:space="1" w:color="auto"/>
          <w:right w:val="single" w:sz="12" w:space="4" w:color="auto"/>
        </w:pBdr>
      </w:pPr>
      <w:r>
        <w:t>Le détail des travaux est repris dans les clauses techniques et le métré récapitulatif annexés au présent cahier spécial des charges.</w:t>
      </w:r>
    </w:p>
    <w:p w:rsidR="009E4F1B" w:rsidRDefault="009E4F1B" w:rsidP="009E4F1B">
      <w:pPr>
        <w:pBdr>
          <w:top w:val="single" w:sz="12" w:space="1" w:color="auto"/>
          <w:left w:val="single" w:sz="12" w:space="4" w:color="auto"/>
          <w:bottom w:val="single" w:sz="12" w:space="1" w:color="auto"/>
          <w:right w:val="single" w:sz="12" w:space="4" w:color="auto"/>
        </w:pBdr>
      </w:pPr>
      <w:r>
        <w:t>Le cas échéant, la gestion des lots est reprise au point 5 ci-dessous.</w:t>
      </w:r>
    </w:p>
    <w:p w:rsidR="009E4F1B" w:rsidRPr="009E4F1B" w:rsidRDefault="009E4F1B" w:rsidP="00F938BD">
      <w:pPr>
        <w:pStyle w:val="Titre2"/>
      </w:pPr>
      <w:bookmarkStart w:id="4" w:name="_Toc503796606"/>
      <w:r w:rsidRPr="009E4F1B">
        <w:t xml:space="preserve">4. </w:t>
      </w:r>
      <w:r w:rsidRPr="00C3765C">
        <w:t>Législation et documents contractuels applicables</w:t>
      </w:r>
      <w:bookmarkEnd w:id="4"/>
    </w:p>
    <w:p w:rsidR="009E4F1B" w:rsidRDefault="009E4F1B" w:rsidP="004F249B">
      <w:pPr>
        <w:pBdr>
          <w:top w:val="single" w:sz="12" w:space="1" w:color="auto"/>
          <w:left w:val="single" w:sz="12" w:space="4" w:color="auto"/>
          <w:bottom w:val="single" w:sz="12" w:space="1" w:color="auto"/>
          <w:right w:val="single" w:sz="12" w:space="4" w:color="auto"/>
        </w:pBdr>
        <w:spacing w:before="100" w:after="100"/>
      </w:pPr>
      <w:r w:rsidRPr="00356487">
        <w:rPr>
          <w:u w:val="single"/>
        </w:rPr>
        <w:t>Réglementation relative aux marchés publics</w:t>
      </w:r>
      <w:r>
        <w:t>:</w:t>
      </w:r>
    </w:p>
    <w:p w:rsidR="009E4F1B" w:rsidRPr="004F249B" w:rsidRDefault="009E4F1B" w:rsidP="004F249B">
      <w:pPr>
        <w:pBdr>
          <w:top w:val="single" w:sz="12" w:space="1" w:color="auto"/>
          <w:left w:val="single" w:sz="12" w:space="4" w:color="auto"/>
          <w:bottom w:val="single" w:sz="12" w:space="1" w:color="auto"/>
          <w:right w:val="single" w:sz="12" w:space="4" w:color="auto"/>
        </w:pBdr>
        <w:spacing w:before="100" w:after="100"/>
        <w:rPr>
          <w:rFonts w:cs="Arial"/>
          <w:szCs w:val="22"/>
        </w:rPr>
      </w:pPr>
      <w:r w:rsidRPr="004F249B">
        <w:rPr>
          <w:rFonts w:cs="Arial"/>
          <w:szCs w:val="22"/>
        </w:rPr>
        <w:t>La loi du 17 juin 2016 relative aux marchés publics, ci-dessous "</w:t>
      </w:r>
      <w:r w:rsidRPr="004F249B">
        <w:rPr>
          <w:rFonts w:cs="Arial"/>
          <w:b/>
          <w:szCs w:val="22"/>
        </w:rPr>
        <w:t>la loi</w:t>
      </w:r>
      <w:r w:rsidRPr="004F249B">
        <w:rPr>
          <w:rFonts w:cs="Arial"/>
          <w:szCs w:val="22"/>
        </w:rPr>
        <w:t>";</w:t>
      </w:r>
    </w:p>
    <w:p w:rsidR="009E4F1B" w:rsidRPr="004F249B" w:rsidRDefault="009E4F1B" w:rsidP="004F249B">
      <w:pPr>
        <w:pStyle w:val="Default"/>
        <w:pBdr>
          <w:top w:val="single" w:sz="12" w:space="1" w:color="auto"/>
          <w:left w:val="single" w:sz="12" w:space="4" w:color="auto"/>
          <w:bottom w:val="single" w:sz="12" w:space="1" w:color="auto"/>
          <w:right w:val="single" w:sz="12" w:space="4" w:color="auto"/>
        </w:pBdr>
        <w:rPr>
          <w:rFonts w:ascii="Arial" w:eastAsiaTheme="minorHAnsi" w:hAnsi="Arial" w:cs="Arial"/>
          <w:sz w:val="22"/>
          <w:szCs w:val="22"/>
          <w:lang w:val="fr-FR" w:eastAsia="en-US"/>
        </w:rPr>
      </w:pPr>
      <w:r w:rsidRPr="004F249B">
        <w:rPr>
          <w:rFonts w:ascii="Arial" w:hAnsi="Arial" w:cs="Arial"/>
          <w:color w:val="auto"/>
          <w:sz w:val="22"/>
          <w:szCs w:val="22"/>
          <w:lang w:val="fr-FR"/>
        </w:rPr>
        <w:t>La loi du 17 juin 2013 relative à la motivation, à l’information et aux voies de recours en matière de marchés publics, de</w:t>
      </w:r>
      <w:r w:rsidRPr="004F249B">
        <w:rPr>
          <w:rFonts w:ascii="Arial" w:eastAsiaTheme="minorHAnsi" w:hAnsi="Arial" w:cs="Arial"/>
          <w:b/>
          <w:bCs/>
          <w:sz w:val="22"/>
          <w:szCs w:val="22"/>
          <w:lang w:val="fr-FR" w:eastAsia="en-US"/>
        </w:rPr>
        <w:t xml:space="preserve"> </w:t>
      </w:r>
      <w:r w:rsidRPr="004F249B">
        <w:rPr>
          <w:rFonts w:ascii="Arial" w:eastAsiaTheme="minorHAnsi" w:hAnsi="Arial" w:cs="Arial"/>
          <w:bCs/>
          <w:sz w:val="22"/>
          <w:szCs w:val="22"/>
          <w:lang w:val="fr-FR" w:eastAsia="en-US"/>
        </w:rPr>
        <w:t>certains marchés de travaux, de fournitures et de services et de concessions</w:t>
      </w:r>
      <w:r w:rsidRPr="004F249B">
        <w:rPr>
          <w:rFonts w:ascii="Arial" w:hAnsi="Arial" w:cs="Arial"/>
          <w:color w:val="auto"/>
          <w:sz w:val="22"/>
          <w:szCs w:val="22"/>
          <w:lang w:val="fr-FR"/>
        </w:rPr>
        <w:t>;</w:t>
      </w:r>
      <w:r w:rsidRPr="004F249B">
        <w:rPr>
          <w:rFonts w:ascii="Arial" w:hAnsi="Arial" w:cs="Arial"/>
          <w:sz w:val="22"/>
          <w:szCs w:val="22"/>
          <w:lang w:val="fr-FR"/>
        </w:rPr>
        <w:t xml:space="preserve"> </w:t>
      </w:r>
    </w:p>
    <w:p w:rsidR="009E4F1B" w:rsidRPr="004F249B" w:rsidRDefault="009E4F1B" w:rsidP="004F249B">
      <w:pPr>
        <w:pBdr>
          <w:top w:val="single" w:sz="12" w:space="1" w:color="auto"/>
          <w:left w:val="single" w:sz="12" w:space="4" w:color="auto"/>
          <w:bottom w:val="single" w:sz="12" w:space="1" w:color="auto"/>
          <w:right w:val="single" w:sz="12" w:space="4" w:color="auto"/>
        </w:pBdr>
        <w:spacing w:before="100" w:after="100"/>
        <w:rPr>
          <w:rFonts w:cs="Arial"/>
          <w:szCs w:val="22"/>
        </w:rPr>
      </w:pPr>
      <w:r w:rsidRPr="004F249B">
        <w:rPr>
          <w:rFonts w:cs="Arial"/>
          <w:szCs w:val="22"/>
        </w:rPr>
        <w:t>L'arrêté royal du 18 avril 2017 relatif à la passation des marchés publics dans les secteurs classiques, ci-dessous "l’</w:t>
      </w:r>
      <w:r w:rsidRPr="004F249B">
        <w:rPr>
          <w:rFonts w:cs="Arial"/>
          <w:b/>
          <w:szCs w:val="22"/>
        </w:rPr>
        <w:t>ARP"</w:t>
      </w:r>
      <w:r w:rsidRPr="004F249B">
        <w:rPr>
          <w:rFonts w:cs="Arial"/>
          <w:szCs w:val="22"/>
        </w:rPr>
        <w:t>;</w:t>
      </w:r>
    </w:p>
    <w:p w:rsidR="009E4F1B" w:rsidRDefault="009E4F1B" w:rsidP="004F249B">
      <w:pPr>
        <w:pBdr>
          <w:top w:val="single" w:sz="12" w:space="1" w:color="auto"/>
          <w:left w:val="single" w:sz="12" w:space="4" w:color="auto"/>
          <w:bottom w:val="single" w:sz="12" w:space="1" w:color="auto"/>
          <w:right w:val="single" w:sz="12" w:space="4" w:color="auto"/>
        </w:pBdr>
        <w:spacing w:before="100" w:after="100"/>
      </w:pPr>
      <w:r>
        <w:t>L'arrêté royal du 14 janvier 2013 établissant les règles générales d'exécution des marchés publics, ci-dessous "</w:t>
      </w:r>
      <w:r w:rsidRPr="00131630">
        <w:rPr>
          <w:b/>
        </w:rPr>
        <w:t>RGE</w:t>
      </w:r>
      <w:r>
        <w:t>".</w:t>
      </w:r>
    </w:p>
    <w:p w:rsidR="004F249B" w:rsidRDefault="004F249B" w:rsidP="004F249B">
      <w:pPr>
        <w:pBdr>
          <w:top w:val="single" w:sz="12" w:space="1" w:color="auto"/>
          <w:left w:val="single" w:sz="12" w:space="4" w:color="auto"/>
          <w:bottom w:val="single" w:sz="12" w:space="1" w:color="auto"/>
          <w:right w:val="single" w:sz="12" w:space="4" w:color="auto"/>
        </w:pBdr>
        <w:spacing w:before="100" w:after="100"/>
        <w:rPr>
          <w:u w:val="single"/>
        </w:rPr>
      </w:pPr>
    </w:p>
    <w:p w:rsidR="009E4F1B" w:rsidRDefault="009E4F1B" w:rsidP="004F249B">
      <w:pPr>
        <w:pBdr>
          <w:top w:val="single" w:sz="12" w:space="1" w:color="auto"/>
          <w:left w:val="single" w:sz="12" w:space="4" w:color="auto"/>
          <w:bottom w:val="single" w:sz="12" w:space="1" w:color="auto"/>
          <w:right w:val="single" w:sz="12" w:space="4" w:color="auto"/>
        </w:pBdr>
        <w:spacing w:before="100" w:after="100"/>
      </w:pPr>
      <w:r w:rsidRPr="00356487">
        <w:rPr>
          <w:u w:val="single"/>
        </w:rPr>
        <w:t>Réglementation relative à l’agréation</w:t>
      </w:r>
      <w:r>
        <w:t>:</w:t>
      </w:r>
    </w:p>
    <w:p w:rsidR="009E4F1B" w:rsidRDefault="009E4F1B" w:rsidP="004F249B">
      <w:pPr>
        <w:pBdr>
          <w:top w:val="single" w:sz="12" w:space="1" w:color="auto"/>
          <w:left w:val="single" w:sz="12" w:space="4" w:color="auto"/>
          <w:bottom w:val="single" w:sz="12" w:space="1" w:color="auto"/>
          <w:right w:val="single" w:sz="12" w:space="4" w:color="auto"/>
        </w:pBdr>
        <w:spacing w:before="100" w:after="100"/>
      </w:pPr>
      <w:r>
        <w:t>La loi du 20 mars 1991 organisant l’agréation d’entrepreneurs de travaux et ses arrêtés d’exécution.</w:t>
      </w:r>
    </w:p>
    <w:p w:rsidR="004F249B" w:rsidRDefault="004F249B" w:rsidP="004F249B">
      <w:pPr>
        <w:pBdr>
          <w:top w:val="single" w:sz="12" w:space="1" w:color="auto"/>
          <w:left w:val="single" w:sz="12" w:space="4" w:color="auto"/>
          <w:bottom w:val="single" w:sz="12" w:space="1" w:color="auto"/>
          <w:right w:val="single" w:sz="12" w:space="4" w:color="auto"/>
        </w:pBdr>
        <w:spacing w:before="100" w:after="100"/>
        <w:rPr>
          <w:u w:val="single"/>
        </w:rPr>
      </w:pPr>
    </w:p>
    <w:p w:rsidR="009E4F1B" w:rsidRDefault="009E4F1B" w:rsidP="004F249B">
      <w:pPr>
        <w:pBdr>
          <w:top w:val="single" w:sz="12" w:space="1" w:color="auto"/>
          <w:left w:val="single" w:sz="12" w:space="4" w:color="auto"/>
          <w:bottom w:val="single" w:sz="12" w:space="1" w:color="auto"/>
          <w:right w:val="single" w:sz="12" w:space="4" w:color="auto"/>
        </w:pBdr>
        <w:spacing w:before="100" w:after="100"/>
      </w:pPr>
      <w:r w:rsidRPr="00356487">
        <w:rPr>
          <w:u w:val="single"/>
        </w:rPr>
        <w:t>Réglementation relative au bien-être des travailleurs</w:t>
      </w:r>
      <w:r>
        <w:t>:</w:t>
      </w:r>
    </w:p>
    <w:p w:rsidR="009E4F1B" w:rsidRPr="006D5FD7" w:rsidRDefault="009E4F1B" w:rsidP="004F249B">
      <w:pPr>
        <w:pBdr>
          <w:top w:val="single" w:sz="12" w:space="1" w:color="auto"/>
          <w:left w:val="single" w:sz="12" w:space="4" w:color="auto"/>
          <w:bottom w:val="single" w:sz="12" w:space="1" w:color="auto"/>
          <w:right w:val="single" w:sz="12" w:space="4" w:color="auto"/>
        </w:pBdr>
        <w:spacing w:before="100" w:after="100"/>
        <w:rPr>
          <w:szCs w:val="24"/>
        </w:rPr>
      </w:pPr>
      <w:r w:rsidRPr="006D5FD7">
        <w:rPr>
          <w:szCs w:val="24"/>
        </w:rPr>
        <w:t>La loi du 04 août 1996 relative au bien-être des travailleurs lors de l'exécution de leur travail;</w:t>
      </w:r>
    </w:p>
    <w:p w:rsidR="004F249B" w:rsidRPr="006D5FD7" w:rsidRDefault="004F249B" w:rsidP="004F249B">
      <w:pPr>
        <w:pBdr>
          <w:top w:val="single" w:sz="12" w:space="1" w:color="auto"/>
          <w:left w:val="single" w:sz="12" w:space="4" w:color="auto"/>
          <w:bottom w:val="single" w:sz="12" w:space="1" w:color="auto"/>
          <w:right w:val="single" w:sz="12" w:space="4" w:color="auto"/>
        </w:pBdr>
        <w:spacing w:before="100" w:after="100"/>
        <w:rPr>
          <w:strike/>
          <w:szCs w:val="24"/>
        </w:rPr>
      </w:pPr>
    </w:p>
    <w:p w:rsidR="004F249B" w:rsidRPr="006D5FD7" w:rsidRDefault="004F249B" w:rsidP="004F249B">
      <w:pPr>
        <w:pBdr>
          <w:top w:val="single" w:sz="12" w:space="1" w:color="auto"/>
          <w:left w:val="single" w:sz="12" w:space="4" w:color="auto"/>
          <w:bottom w:val="single" w:sz="12" w:space="1" w:color="auto"/>
          <w:right w:val="single" w:sz="12" w:space="4" w:color="auto"/>
        </w:pBdr>
        <w:spacing w:before="100" w:after="100"/>
        <w:rPr>
          <w:strike/>
          <w:szCs w:val="24"/>
        </w:rPr>
      </w:pPr>
      <w:r w:rsidRPr="006D5FD7">
        <w:rPr>
          <w:u w:val="single"/>
        </w:rPr>
        <w:t>Réglementation relative à la signalisation des chantiers</w:t>
      </w:r>
    </w:p>
    <w:p w:rsidR="004F249B" w:rsidRPr="006D5FD7" w:rsidRDefault="004F249B" w:rsidP="004F249B">
      <w:pPr>
        <w:pBdr>
          <w:top w:val="single" w:sz="12" w:space="1" w:color="auto"/>
          <w:left w:val="single" w:sz="12" w:space="4" w:color="auto"/>
          <w:bottom w:val="single" w:sz="12" w:space="1" w:color="auto"/>
          <w:right w:val="single" w:sz="12" w:space="4" w:color="auto"/>
        </w:pBdr>
        <w:spacing w:before="100" w:after="100"/>
        <w:rPr>
          <w:strike/>
          <w:szCs w:val="24"/>
        </w:rPr>
      </w:pPr>
      <w:r w:rsidRPr="006D5FD7">
        <w:rPr>
          <w:szCs w:val="24"/>
        </w:rPr>
        <w:t>L'arrêté royal du 25 janvier 2001 concernant les chantiers temporaires ou mobiles</w:t>
      </w:r>
    </w:p>
    <w:p w:rsidR="004F249B" w:rsidRPr="006D5FD7" w:rsidRDefault="006D5FD7" w:rsidP="004F249B">
      <w:pPr>
        <w:pBdr>
          <w:top w:val="single" w:sz="12" w:space="1" w:color="auto"/>
          <w:left w:val="single" w:sz="12" w:space="4" w:color="auto"/>
          <w:bottom w:val="single" w:sz="12" w:space="1" w:color="auto"/>
          <w:right w:val="single" w:sz="12" w:space="4" w:color="auto"/>
        </w:pBdr>
        <w:spacing w:before="100" w:after="100"/>
        <w:rPr>
          <w:bCs/>
        </w:rPr>
      </w:pPr>
      <w:r w:rsidRPr="006D5FD7">
        <w:rPr>
          <w:bCs/>
        </w:rPr>
        <w:t>Arrêté ministériel  du 7 mai</w:t>
      </w:r>
      <w:r w:rsidR="004F249B" w:rsidRPr="006D5FD7">
        <w:rPr>
          <w:bCs/>
        </w:rPr>
        <w:t xml:space="preserve"> 1999 relatif à la signalisation des chantiers et des obstacles sur la voie publique.</w:t>
      </w:r>
    </w:p>
    <w:p w:rsidR="004F249B" w:rsidRPr="006D5FD7" w:rsidRDefault="004F249B" w:rsidP="004F249B">
      <w:pPr>
        <w:pBdr>
          <w:top w:val="single" w:sz="12" w:space="1" w:color="auto"/>
          <w:left w:val="single" w:sz="12" w:space="4" w:color="auto"/>
          <w:bottom w:val="single" w:sz="12" w:space="1" w:color="auto"/>
          <w:right w:val="single" w:sz="12" w:space="4" w:color="auto"/>
        </w:pBdr>
        <w:spacing w:before="100" w:after="100"/>
        <w:rPr>
          <w:szCs w:val="24"/>
        </w:rPr>
      </w:pPr>
    </w:p>
    <w:p w:rsidR="009E4F1B" w:rsidRPr="006D5FD7" w:rsidRDefault="009E4F1B" w:rsidP="004F249B">
      <w:pPr>
        <w:pBdr>
          <w:top w:val="single" w:sz="12" w:space="1" w:color="auto"/>
          <w:left w:val="single" w:sz="12" w:space="4" w:color="auto"/>
          <w:bottom w:val="single" w:sz="12" w:space="1" w:color="auto"/>
          <w:right w:val="single" w:sz="12" w:space="4" w:color="auto"/>
        </w:pBdr>
        <w:spacing w:before="100" w:after="100"/>
      </w:pPr>
      <w:r w:rsidRPr="006D5FD7">
        <w:rPr>
          <w:u w:val="single"/>
        </w:rPr>
        <w:t>Réglementation relative à la gestion des déchets</w:t>
      </w:r>
      <w:r w:rsidRPr="006D5FD7">
        <w:t xml:space="preserve">: </w:t>
      </w:r>
    </w:p>
    <w:p w:rsidR="009E4F1B" w:rsidRPr="006D5FD7" w:rsidRDefault="009E4F1B" w:rsidP="004F249B">
      <w:pPr>
        <w:pBdr>
          <w:top w:val="single" w:sz="12" w:space="1" w:color="auto"/>
          <w:left w:val="single" w:sz="12" w:space="4" w:color="auto"/>
          <w:bottom w:val="single" w:sz="12" w:space="1" w:color="auto"/>
          <w:right w:val="single" w:sz="12" w:space="4" w:color="auto"/>
        </w:pBdr>
        <w:spacing w:before="100" w:after="100"/>
      </w:pPr>
      <w:r w:rsidRPr="006D5FD7">
        <w:t>Le décret de la Région wallonne du 27 juin 1996 relatif aux déchets;</w:t>
      </w:r>
    </w:p>
    <w:p w:rsidR="008B6351" w:rsidRPr="006D5FD7" w:rsidRDefault="008B6351" w:rsidP="004F249B">
      <w:pPr>
        <w:pBdr>
          <w:top w:val="single" w:sz="12" w:space="1" w:color="auto"/>
          <w:left w:val="single" w:sz="12" w:space="4" w:color="auto"/>
          <w:bottom w:val="single" w:sz="12" w:space="1" w:color="auto"/>
          <w:right w:val="single" w:sz="12" w:space="4" w:color="auto"/>
        </w:pBdr>
        <w:spacing w:before="100" w:after="100"/>
      </w:pPr>
      <w:r w:rsidRPr="006D5FD7">
        <w:rPr>
          <w:bCs/>
        </w:rPr>
        <w:t>Décret fiscal du 22 mars 2007 favorisant la prévention et la valorisation des déchets en Région wallonne et portant modification du décret du 6 mai 1999 relatif à l'établissement, au recouvrement et au contentieux en matière de taxes régionales directes;</w:t>
      </w:r>
    </w:p>
    <w:p w:rsidR="009E4F1B" w:rsidRPr="006D5FD7" w:rsidRDefault="009E4F1B" w:rsidP="004F249B">
      <w:pPr>
        <w:pBdr>
          <w:top w:val="single" w:sz="12" w:space="1" w:color="auto"/>
          <w:left w:val="single" w:sz="12" w:space="4" w:color="auto"/>
          <w:bottom w:val="single" w:sz="12" w:space="1" w:color="auto"/>
          <w:right w:val="single" w:sz="12" w:space="4" w:color="auto"/>
        </w:pBdr>
        <w:spacing w:before="100" w:after="100"/>
      </w:pPr>
      <w:r w:rsidRPr="006D5FD7">
        <w:t xml:space="preserve">L’arrêté du Gouvernement wallon du </w:t>
      </w:r>
      <w:r w:rsidR="008B6351" w:rsidRPr="006D5FD7">
        <w:t xml:space="preserve">10 juillet 1997 </w:t>
      </w:r>
      <w:r w:rsidRPr="006D5FD7">
        <w:t>établ</w:t>
      </w:r>
      <w:r w:rsidR="008B6351" w:rsidRPr="006D5FD7">
        <w:t>issant un catalogue des déchets;</w:t>
      </w:r>
    </w:p>
    <w:p w:rsidR="008B6351" w:rsidRPr="006D5FD7" w:rsidRDefault="008B6351" w:rsidP="004F249B">
      <w:pPr>
        <w:pBdr>
          <w:top w:val="single" w:sz="12" w:space="1" w:color="auto"/>
          <w:left w:val="single" w:sz="12" w:space="4" w:color="auto"/>
          <w:bottom w:val="single" w:sz="12" w:space="1" w:color="auto"/>
          <w:right w:val="single" w:sz="12" w:space="4" w:color="auto"/>
        </w:pBdr>
        <w:spacing w:before="100" w:after="100"/>
        <w:rPr>
          <w:bCs/>
        </w:rPr>
      </w:pPr>
      <w:r w:rsidRPr="006D5FD7">
        <w:rPr>
          <w:bCs/>
        </w:rPr>
        <w:t>Circulaire 23 février 1995 relative à l'organisation de l'évacuation des déchets dans le cadre des travaux publics en Région wallonne;</w:t>
      </w:r>
    </w:p>
    <w:p w:rsidR="008B6351" w:rsidRPr="006D5FD7" w:rsidRDefault="008B6351" w:rsidP="004F249B">
      <w:pPr>
        <w:pBdr>
          <w:top w:val="single" w:sz="12" w:space="1" w:color="auto"/>
          <w:left w:val="single" w:sz="12" w:space="4" w:color="auto"/>
          <w:bottom w:val="single" w:sz="12" w:space="1" w:color="auto"/>
          <w:right w:val="single" w:sz="12" w:space="4" w:color="auto"/>
        </w:pBdr>
        <w:spacing w:before="100" w:after="100"/>
        <w:rPr>
          <w:bCs/>
        </w:rPr>
      </w:pPr>
      <w:r w:rsidRPr="006D5FD7">
        <w:rPr>
          <w:bCs/>
        </w:rPr>
        <w:t xml:space="preserve">Arrêté du Gouvernement wallon 14 </w:t>
      </w:r>
      <w:r w:rsidR="00C02C2E" w:rsidRPr="006D5FD7">
        <w:rPr>
          <w:bCs/>
        </w:rPr>
        <w:t>juin</w:t>
      </w:r>
      <w:r w:rsidRPr="006D5FD7">
        <w:rPr>
          <w:bCs/>
        </w:rPr>
        <w:t xml:space="preserve"> 2001 favorisant la valorisation de certains déchets.</w:t>
      </w:r>
    </w:p>
    <w:p w:rsidR="004F249B" w:rsidRPr="006D5FD7" w:rsidRDefault="004F249B" w:rsidP="004F249B">
      <w:pPr>
        <w:pBdr>
          <w:top w:val="single" w:sz="12" w:space="1" w:color="auto"/>
          <w:left w:val="single" w:sz="12" w:space="4" w:color="auto"/>
          <w:bottom w:val="single" w:sz="12" w:space="1" w:color="auto"/>
          <w:right w:val="single" w:sz="12" w:space="4" w:color="auto"/>
        </w:pBdr>
        <w:spacing w:before="100" w:after="100"/>
        <w:rPr>
          <w:bCs/>
        </w:rPr>
      </w:pPr>
    </w:p>
    <w:p w:rsidR="004F249B" w:rsidRPr="00282CFE" w:rsidRDefault="004F249B" w:rsidP="004F249B">
      <w:pPr>
        <w:pStyle w:val="Sansinterligne"/>
        <w:pBdr>
          <w:top w:val="single" w:sz="12" w:space="1" w:color="auto"/>
          <w:left w:val="single" w:sz="12" w:space="4" w:color="auto"/>
          <w:bottom w:val="single" w:sz="12" w:space="1" w:color="auto"/>
          <w:right w:val="single" w:sz="12" w:space="4" w:color="auto"/>
        </w:pBdr>
        <w:jc w:val="both"/>
        <w:rPr>
          <w:rFonts w:ascii="Arial" w:hAnsi="Arial" w:cs="Arial"/>
          <w:u w:val="single"/>
        </w:rPr>
      </w:pPr>
      <w:r w:rsidRPr="00282CFE">
        <w:rPr>
          <w:rFonts w:ascii="Arial" w:hAnsi="Arial" w:cs="Arial"/>
          <w:u w:val="single"/>
        </w:rPr>
        <w:t>Normes techniques</w:t>
      </w:r>
    </w:p>
    <w:p w:rsidR="004F249B" w:rsidRPr="00282CFE" w:rsidRDefault="004F249B" w:rsidP="004F249B">
      <w:pPr>
        <w:pStyle w:val="Sansinterligne"/>
        <w:pBdr>
          <w:top w:val="single" w:sz="12" w:space="1" w:color="auto"/>
          <w:left w:val="single" w:sz="12" w:space="4" w:color="auto"/>
          <w:bottom w:val="single" w:sz="12" w:space="1" w:color="auto"/>
          <w:right w:val="single" w:sz="12" w:space="4" w:color="auto"/>
        </w:pBdr>
        <w:jc w:val="both"/>
        <w:rPr>
          <w:rFonts w:ascii="Arial" w:hAnsi="Arial" w:cs="Arial"/>
          <w:u w:val="single"/>
        </w:rPr>
      </w:pPr>
    </w:p>
    <w:p w:rsidR="004F249B" w:rsidRPr="00282CFE" w:rsidRDefault="004F249B" w:rsidP="004F249B">
      <w:pPr>
        <w:pStyle w:val="Sansinterligne"/>
        <w:pBdr>
          <w:top w:val="single" w:sz="12" w:space="1" w:color="auto"/>
          <w:left w:val="single" w:sz="12" w:space="4" w:color="auto"/>
          <w:bottom w:val="single" w:sz="12" w:space="1" w:color="auto"/>
          <w:right w:val="single" w:sz="12" w:space="4" w:color="auto"/>
        </w:pBdr>
        <w:jc w:val="both"/>
        <w:rPr>
          <w:rFonts w:ascii="Arial" w:hAnsi="Arial" w:cs="Arial"/>
        </w:rPr>
      </w:pPr>
      <w:r w:rsidRPr="00282CFE">
        <w:rPr>
          <w:rFonts w:ascii="Arial" w:hAnsi="Arial" w:cs="Arial"/>
        </w:rPr>
        <w:t>Les normes belges transposant des normes européennes, des agréments techniques européens, des spécifications techniques communes ou, à leur défaut, des autres normes en usage dans l’union européenne, sauf dérogation dûment justifiée dans les documents du marché. En l’absence de telles spécifications techniques et normes, les spécifications sont explicitées dans les documents du marché.</w:t>
      </w:r>
    </w:p>
    <w:p w:rsidR="009E4F1B" w:rsidRDefault="009E4F1B" w:rsidP="004F249B">
      <w:pPr>
        <w:pBdr>
          <w:top w:val="single" w:sz="12" w:space="1" w:color="auto"/>
          <w:left w:val="single" w:sz="12" w:space="4" w:color="auto"/>
          <w:bottom w:val="single" w:sz="12" w:space="1" w:color="auto"/>
          <w:right w:val="single" w:sz="12" w:space="4" w:color="auto"/>
        </w:pBdr>
        <w:spacing w:before="100" w:after="100"/>
      </w:pPr>
    </w:p>
    <w:p w:rsidR="009E4F1B" w:rsidRDefault="009E4F1B" w:rsidP="004F249B">
      <w:pPr>
        <w:pBdr>
          <w:top w:val="single" w:sz="12" w:space="1" w:color="auto"/>
          <w:left w:val="single" w:sz="12" w:space="4" w:color="auto"/>
          <w:bottom w:val="single" w:sz="12" w:space="1" w:color="auto"/>
          <w:right w:val="single" w:sz="12" w:space="4" w:color="auto"/>
        </w:pBdr>
        <w:spacing w:before="100" w:after="100"/>
        <w:rPr>
          <w:szCs w:val="24"/>
        </w:rPr>
      </w:pPr>
      <w:r w:rsidRPr="00356487">
        <w:rPr>
          <w:szCs w:val="24"/>
          <w:u w:val="single"/>
        </w:rPr>
        <w:t>Documents contractuel</w:t>
      </w:r>
      <w:r w:rsidR="004F249B">
        <w:rPr>
          <w:szCs w:val="24"/>
          <w:u w:val="single"/>
        </w:rPr>
        <w:t>s:</w:t>
      </w:r>
    </w:p>
    <w:p w:rsidR="009E4F1B" w:rsidRPr="00815128" w:rsidRDefault="009E4F1B" w:rsidP="004F249B">
      <w:pPr>
        <w:pBdr>
          <w:top w:val="single" w:sz="12" w:space="1" w:color="auto"/>
          <w:left w:val="single" w:sz="12" w:space="4" w:color="auto"/>
          <w:bottom w:val="single" w:sz="12" w:space="1" w:color="auto"/>
          <w:right w:val="single" w:sz="12" w:space="4" w:color="auto"/>
        </w:pBdr>
        <w:spacing w:before="100" w:after="100"/>
        <w:rPr>
          <w:szCs w:val="24"/>
        </w:rPr>
      </w:pPr>
      <w:r>
        <w:t>L</w:t>
      </w:r>
      <w:r w:rsidRPr="00815128">
        <w:t>e cahier des charges type QUALIROUTES du Service public de Wallonie (en abrégé "CCT QUALIROUTES") y compris les mises à jour apportées à ce cahier des charges type (à la date de la publication de l’avis de marché)</w:t>
      </w:r>
      <w:r>
        <w:t>;</w:t>
      </w:r>
      <w:r w:rsidRPr="00815128">
        <w:t xml:space="preserve"> </w:t>
      </w:r>
    </w:p>
    <w:p w:rsidR="009E4F1B" w:rsidRPr="00815128" w:rsidRDefault="009E4F1B" w:rsidP="004F249B">
      <w:pPr>
        <w:pBdr>
          <w:top w:val="single" w:sz="12" w:space="1" w:color="auto"/>
          <w:left w:val="single" w:sz="12" w:space="4" w:color="auto"/>
          <w:bottom w:val="single" w:sz="12" w:space="1" w:color="auto"/>
          <w:right w:val="single" w:sz="12" w:space="4" w:color="auto"/>
        </w:pBdr>
        <w:spacing w:before="100" w:after="100"/>
      </w:pPr>
      <w:r>
        <w:t>L</w:t>
      </w:r>
      <w:r w:rsidRPr="00815128">
        <w:t>e Catalogu</w:t>
      </w:r>
      <w:r>
        <w:t xml:space="preserve">e des documents de référence – </w:t>
      </w:r>
      <w:r w:rsidRPr="00815128">
        <w:t>Edition du CDR du 01 /</w:t>
      </w:r>
      <w:r>
        <w:t xml:space="preserve"> </w:t>
      </w:r>
      <w:r w:rsidRPr="00815128">
        <w:rPr>
          <w:bdr w:val="single" w:sz="12" w:space="0" w:color="auto"/>
        </w:rPr>
        <w:t>(</w:t>
      </w:r>
      <w:r w:rsidRPr="00815128">
        <w:rPr>
          <w:i/>
          <w:bdr w:val="single" w:sz="12" w:space="0" w:color="auto"/>
        </w:rPr>
        <w:t>mois)</w:t>
      </w:r>
      <w:r>
        <w:rPr>
          <w:bdr w:val="single" w:sz="12" w:space="0" w:color="auto"/>
        </w:rPr>
        <w:t xml:space="preserve"> </w:t>
      </w:r>
      <w:r w:rsidRPr="00815128">
        <w:t>/</w:t>
      </w:r>
      <w:r>
        <w:t xml:space="preserve"> </w:t>
      </w:r>
      <w:r w:rsidRPr="00815128">
        <w:rPr>
          <w:bdr w:val="single" w:sz="12" w:space="0" w:color="auto"/>
        </w:rPr>
        <w:t>(</w:t>
      </w:r>
      <w:r w:rsidRPr="00815128">
        <w:rPr>
          <w:i/>
          <w:bdr w:val="single" w:sz="12" w:space="0" w:color="auto"/>
        </w:rPr>
        <w:t>année</w:t>
      </w:r>
      <w:proofErr w:type="gramStart"/>
      <w:r w:rsidRPr="00815128">
        <w:rPr>
          <w:i/>
          <w:bdr w:val="single" w:sz="12" w:space="0" w:color="auto"/>
        </w:rPr>
        <w:t>)</w:t>
      </w:r>
      <w:r>
        <w:rPr>
          <w:i/>
          <w:bdr w:val="single" w:sz="12" w:space="0" w:color="auto"/>
        </w:rPr>
        <w:t xml:space="preserve"> </w:t>
      </w:r>
      <w:r w:rsidRPr="00815128">
        <w:t>.</w:t>
      </w:r>
      <w:proofErr w:type="gramEnd"/>
    </w:p>
    <w:p w:rsidR="009E4F1B" w:rsidRPr="00403199" w:rsidRDefault="009E4F1B" w:rsidP="004F249B">
      <w:pPr>
        <w:pStyle w:val="Retraitcorpsdetexte2"/>
        <w:pBdr>
          <w:top w:val="single" w:sz="12" w:space="1" w:color="auto"/>
          <w:left w:val="single" w:sz="12" w:space="4" w:color="auto"/>
          <w:bottom w:val="single" w:sz="12" w:space="1" w:color="auto"/>
          <w:right w:val="single" w:sz="12" w:space="4" w:color="auto"/>
        </w:pBdr>
        <w:ind w:left="0"/>
        <w:rPr>
          <w:i w:val="0"/>
        </w:rPr>
      </w:pPr>
      <w:r w:rsidRPr="00403199">
        <w:rPr>
          <w:i w:val="0"/>
        </w:rPr>
        <w:t>Le CCT QUALIROUTES</w:t>
      </w:r>
      <w:r>
        <w:rPr>
          <w:i w:val="0"/>
        </w:rPr>
        <w:t>, le CDR</w:t>
      </w:r>
      <w:r w:rsidRPr="00403199">
        <w:rPr>
          <w:i w:val="0"/>
        </w:rPr>
        <w:t xml:space="preserve"> et le Catalogue des postes normalisés (CPN) sont disponibles sur le site Internet "Qualité &amp; Construction" </w:t>
      </w:r>
      <w:r>
        <w:rPr>
          <w:i w:val="0"/>
        </w:rPr>
        <w:t>(</w:t>
      </w:r>
      <w:hyperlink r:id="rId8" w:history="1">
        <w:r w:rsidRPr="00456139">
          <w:rPr>
            <w:rStyle w:val="Lienhypertexte"/>
            <w:i w:val="0"/>
          </w:rPr>
          <w:t>http://qc.spw.wallonie.be</w:t>
        </w:r>
      </w:hyperlink>
      <w:r>
        <w:rPr>
          <w:i w:val="0"/>
        </w:rPr>
        <w:t xml:space="preserve">). </w:t>
      </w:r>
    </w:p>
    <w:p w:rsidR="009E4F1B" w:rsidRDefault="009E4F1B" w:rsidP="004F249B">
      <w:pPr>
        <w:pBdr>
          <w:top w:val="single" w:sz="12" w:space="1" w:color="auto"/>
          <w:left w:val="single" w:sz="12" w:space="4" w:color="auto"/>
          <w:bottom w:val="single" w:sz="12" w:space="1" w:color="auto"/>
          <w:right w:val="single" w:sz="12" w:space="4" w:color="auto"/>
        </w:pBdr>
        <w:tabs>
          <w:tab w:val="left" w:pos="5535"/>
        </w:tabs>
      </w:pPr>
      <w:r>
        <w:tab/>
      </w:r>
    </w:p>
    <w:p w:rsidR="009E4F1B" w:rsidRPr="00C70C75" w:rsidRDefault="009E4F1B" w:rsidP="004F249B">
      <w:pPr>
        <w:pStyle w:val="Corpsdetexte"/>
        <w:pBdr>
          <w:top w:val="single" w:sz="12" w:space="1" w:color="auto"/>
          <w:left w:val="single" w:sz="12" w:space="4" w:color="auto"/>
          <w:bottom w:val="single" w:sz="12" w:space="1" w:color="auto"/>
          <w:right w:val="single" w:sz="12" w:space="4" w:color="auto"/>
        </w:pBdr>
        <w:rPr>
          <w:i w:val="0"/>
        </w:rPr>
      </w:pPr>
      <w:r w:rsidRPr="00C70C75">
        <w:rPr>
          <w:i w:val="0"/>
        </w:rPr>
        <w:t>Indiquer les autres législations et documents susceptibles d’être applicables au marché et qui ne sont pas repris dans le Catalogue des Documents de Référence.</w:t>
      </w:r>
    </w:p>
    <w:p w:rsidR="009E4F1B" w:rsidRDefault="009E4F1B" w:rsidP="009E4F1B">
      <w:pPr>
        <w:pStyle w:val="Corpsdetexte"/>
      </w:pPr>
    </w:p>
    <w:p w:rsidR="009E4F1B" w:rsidRPr="00F938BD" w:rsidRDefault="009E4F1B" w:rsidP="00F938BD">
      <w:pPr>
        <w:pStyle w:val="Corpsdetexte"/>
      </w:pPr>
      <w:r w:rsidRPr="00557696">
        <w:t>Les documents à caractère technique ne doivent pas être cités. Ils sont à insérer dans les clauses techniques du CSC.</w:t>
      </w:r>
    </w:p>
    <w:p w:rsidR="009E4F1B" w:rsidRPr="00F938BD" w:rsidRDefault="009E4F1B" w:rsidP="00F938BD">
      <w:pPr>
        <w:pStyle w:val="Titre2"/>
        <w:rPr>
          <w:u w:val="none"/>
        </w:rPr>
      </w:pPr>
      <w:bookmarkStart w:id="5" w:name="_Toc503796607"/>
      <w:r>
        <w:lastRenderedPageBreak/>
        <w:t>5. Lots</w:t>
      </w:r>
      <w:bookmarkEnd w:id="5"/>
    </w:p>
    <w:p w:rsidR="009E4F1B" w:rsidRPr="002A7FC4" w:rsidRDefault="009E4F1B" w:rsidP="009E4F1B">
      <w:pPr>
        <w:pStyle w:val="Corpsdetexte"/>
        <w:rPr>
          <w:bCs/>
          <w:color w:val="FF0000"/>
        </w:rPr>
      </w:pPr>
      <w:r w:rsidRPr="0091165B">
        <w:rPr>
          <w:bCs/>
        </w:rPr>
        <w:t>Si le marché est d’un montant estimé égal ou supérieur à 1</w:t>
      </w:r>
      <w:r w:rsidR="00282CFE">
        <w:rPr>
          <w:bCs/>
        </w:rPr>
        <w:t>44</w:t>
      </w:r>
      <w:r w:rsidRPr="0091165B">
        <w:rPr>
          <w:bCs/>
        </w:rPr>
        <w:t>.000 € HTVA et si le pouvoir</w:t>
      </w:r>
      <w:r w:rsidRPr="006513A4">
        <w:rPr>
          <w:bCs/>
        </w:rPr>
        <w:t xml:space="preserve"> adjudicateur décide de ne pas diviser ce marché en lots, il doit </w:t>
      </w:r>
      <w:r>
        <w:rPr>
          <w:bCs/>
        </w:rPr>
        <w:t>en mentionner les raisons</w:t>
      </w:r>
      <w:r w:rsidRPr="006513A4">
        <w:rPr>
          <w:bCs/>
        </w:rPr>
        <w:t xml:space="preserve"> </w:t>
      </w:r>
      <w:r>
        <w:rPr>
          <w:bCs/>
        </w:rPr>
        <w:t>principales motivant l’absence d’allotissement.</w:t>
      </w:r>
    </w:p>
    <w:p w:rsidR="009E4F1B" w:rsidRPr="002A7FC4" w:rsidRDefault="009E4F1B" w:rsidP="009E4F1B">
      <w:pPr>
        <w:pStyle w:val="Corpsdetexte"/>
        <w:rPr>
          <w:bCs/>
          <w:color w:val="FF0000"/>
        </w:rPr>
      </w:pPr>
    </w:p>
    <w:p w:rsidR="009E4F1B" w:rsidRPr="006D5FD7" w:rsidRDefault="009E4F1B" w:rsidP="009E4F1B">
      <w:pPr>
        <w:pStyle w:val="Corpsdetexte"/>
        <w:pBdr>
          <w:top w:val="single" w:sz="12" w:space="1" w:color="auto"/>
          <w:left w:val="single" w:sz="12" w:space="4" w:color="auto"/>
          <w:bottom w:val="single" w:sz="12" w:space="1" w:color="auto"/>
          <w:right w:val="single" w:sz="12" w:space="4" w:color="auto"/>
        </w:pBdr>
        <w:rPr>
          <w:rFonts w:ascii="Arial" w:hAnsi="Arial" w:cs="Arial"/>
          <w:bCs/>
          <w:i w:val="0"/>
          <w:sz w:val="22"/>
          <w:szCs w:val="24"/>
        </w:rPr>
      </w:pPr>
      <w:r w:rsidRPr="006D5FD7">
        <w:rPr>
          <w:rFonts w:ascii="Arial" w:hAnsi="Arial" w:cs="Arial"/>
          <w:bCs/>
          <w:i w:val="0"/>
          <w:sz w:val="22"/>
        </w:rPr>
        <w:t xml:space="preserve">- </w:t>
      </w:r>
      <w:r w:rsidRPr="006D5FD7">
        <w:rPr>
          <w:rFonts w:ascii="Arial" w:hAnsi="Arial" w:cs="Arial"/>
          <w:bCs/>
          <w:i w:val="0"/>
          <w:sz w:val="22"/>
          <w:szCs w:val="24"/>
        </w:rPr>
        <w:t xml:space="preserve">Déterminer la nature, le volume, l’objet, la répartition et les caractéristiques de chaque lot </w:t>
      </w:r>
    </w:p>
    <w:p w:rsidR="009E4F1B" w:rsidRPr="006D5FD7" w:rsidRDefault="009E4F1B" w:rsidP="009E4F1B">
      <w:pPr>
        <w:pBdr>
          <w:top w:val="single" w:sz="12" w:space="1" w:color="auto"/>
          <w:left w:val="single" w:sz="12" w:space="4" w:color="auto"/>
          <w:bottom w:val="single" w:sz="12" w:space="1" w:color="auto"/>
          <w:right w:val="single" w:sz="12" w:space="4" w:color="auto"/>
        </w:pBdr>
        <w:autoSpaceDE w:val="0"/>
        <w:autoSpaceDN w:val="0"/>
        <w:adjustRightInd w:val="0"/>
        <w:rPr>
          <w:rFonts w:ascii="Palatino-Roman" w:eastAsiaTheme="minorHAnsi" w:hAnsi="Palatino-Roman" w:cs="Palatino-Roman"/>
          <w:szCs w:val="24"/>
          <w:lang w:val="fr-BE" w:eastAsia="en-US"/>
        </w:rPr>
      </w:pPr>
      <w:r w:rsidRPr="006D5FD7">
        <w:rPr>
          <w:bCs/>
          <w:szCs w:val="24"/>
        </w:rPr>
        <w:t xml:space="preserve">- Préciser la possibilité de soumissionner pour un, plusieurs ou tous les lots ainsi que la limite éventuelle au nombre de lots attribuables à un seul soumissionnaire. </w:t>
      </w:r>
    </w:p>
    <w:p w:rsidR="006D5FD7" w:rsidRPr="006D5FD7" w:rsidRDefault="006D5FD7" w:rsidP="006D5FD7">
      <w:pPr>
        <w:pStyle w:val="Corpsdetexte"/>
        <w:pBdr>
          <w:top w:val="single" w:sz="12" w:space="1" w:color="auto"/>
          <w:left w:val="single" w:sz="12" w:space="4" w:color="auto"/>
          <w:bottom w:val="single" w:sz="12" w:space="1" w:color="auto"/>
          <w:right w:val="single" w:sz="12" w:space="4" w:color="auto"/>
        </w:pBdr>
        <w:rPr>
          <w:rFonts w:ascii="Arial" w:hAnsi="Arial" w:cs="Arial"/>
          <w:bCs/>
          <w:i w:val="0"/>
          <w:sz w:val="22"/>
          <w:szCs w:val="24"/>
        </w:rPr>
      </w:pPr>
    </w:p>
    <w:p w:rsidR="009E4F1B" w:rsidRPr="006D5FD7" w:rsidRDefault="006D5FD7" w:rsidP="006D5FD7">
      <w:pPr>
        <w:pStyle w:val="Corpsdetexte"/>
        <w:pBdr>
          <w:top w:val="single" w:sz="12" w:space="1" w:color="auto"/>
          <w:left w:val="single" w:sz="12" w:space="4" w:color="auto"/>
          <w:bottom w:val="single" w:sz="12" w:space="1" w:color="auto"/>
          <w:right w:val="single" w:sz="12" w:space="4" w:color="auto"/>
        </w:pBdr>
        <w:rPr>
          <w:rFonts w:ascii="Arial" w:hAnsi="Arial" w:cs="Arial"/>
          <w:bCs/>
          <w:i w:val="0"/>
          <w:sz w:val="22"/>
          <w:szCs w:val="24"/>
        </w:rPr>
      </w:pPr>
      <w:r w:rsidRPr="006D5FD7">
        <w:rPr>
          <w:rFonts w:ascii="Arial" w:hAnsi="Arial" w:cs="Arial"/>
          <w:bCs/>
          <w:i w:val="0"/>
          <w:sz w:val="22"/>
          <w:szCs w:val="24"/>
        </w:rPr>
        <w:t xml:space="preserve">- </w:t>
      </w:r>
      <w:r w:rsidR="009E4F1B" w:rsidRPr="006D5FD7">
        <w:rPr>
          <w:rFonts w:ascii="Arial" w:hAnsi="Arial" w:cs="Arial"/>
          <w:bCs/>
          <w:i w:val="0"/>
          <w:sz w:val="22"/>
          <w:szCs w:val="24"/>
        </w:rPr>
        <w:t>Préciser si les rabais ou propositions d’amélioration sont interdits.</w:t>
      </w:r>
    </w:p>
    <w:p w:rsidR="009E4F1B" w:rsidRPr="006D5FD7" w:rsidRDefault="009E4F1B" w:rsidP="006D5FD7">
      <w:pPr>
        <w:pStyle w:val="Corpsdetexte"/>
        <w:pBdr>
          <w:top w:val="single" w:sz="12" w:space="1" w:color="auto"/>
          <w:left w:val="single" w:sz="12" w:space="4" w:color="auto"/>
          <w:bottom w:val="single" w:sz="12" w:space="1" w:color="auto"/>
          <w:right w:val="single" w:sz="12" w:space="4" w:color="auto"/>
        </w:pBdr>
        <w:rPr>
          <w:rFonts w:ascii="Arial" w:hAnsi="Arial" w:cs="Arial"/>
          <w:bCs/>
          <w:i w:val="0"/>
          <w:sz w:val="22"/>
          <w:szCs w:val="24"/>
        </w:rPr>
      </w:pPr>
    </w:p>
    <w:p w:rsidR="009E4F1B" w:rsidRPr="006D5FD7" w:rsidRDefault="006D5FD7" w:rsidP="006D5FD7">
      <w:pPr>
        <w:pStyle w:val="Corpsdetexte"/>
        <w:pBdr>
          <w:top w:val="single" w:sz="12" w:space="1" w:color="auto"/>
          <w:left w:val="single" w:sz="12" w:space="4" w:color="auto"/>
          <w:bottom w:val="single" w:sz="12" w:space="1" w:color="auto"/>
          <w:right w:val="single" w:sz="12" w:space="4" w:color="auto"/>
        </w:pBdr>
        <w:rPr>
          <w:rFonts w:ascii="Arial" w:hAnsi="Arial" w:cs="Arial"/>
          <w:bCs/>
          <w:i w:val="0"/>
          <w:sz w:val="22"/>
          <w:szCs w:val="24"/>
        </w:rPr>
      </w:pPr>
      <w:r>
        <w:rPr>
          <w:rFonts w:ascii="Arial" w:hAnsi="Arial" w:cs="Arial"/>
          <w:bCs/>
          <w:i w:val="0"/>
          <w:sz w:val="22"/>
          <w:szCs w:val="24"/>
        </w:rPr>
        <w:t xml:space="preserve">- </w:t>
      </w:r>
      <w:r w:rsidR="009E4F1B" w:rsidRPr="006D5FD7">
        <w:rPr>
          <w:rFonts w:ascii="Arial" w:hAnsi="Arial" w:cs="Arial"/>
          <w:bCs/>
          <w:i w:val="0"/>
          <w:sz w:val="22"/>
          <w:szCs w:val="24"/>
        </w:rPr>
        <w:t>Indiquer dans le cahier spécial des charges les critères ou règles objectifs et non discriminatoires appliqués pour déterminer quels lots seront attribués lorsque l’application des critères d’attribution conduirait à attribuer à un soumissionnaire un nombre de lots supérieur au nombre maximal.</w:t>
      </w:r>
    </w:p>
    <w:p w:rsidR="006D5FD7" w:rsidRPr="007F0C4F" w:rsidRDefault="006D5FD7" w:rsidP="007F0C4F">
      <w:pPr>
        <w:rPr>
          <w:i/>
          <w:sz w:val="32"/>
        </w:rPr>
      </w:pPr>
      <w:r w:rsidRPr="007F0C4F">
        <w:rPr>
          <w:i/>
        </w:rPr>
        <w:t>Les critères de sélection des lots sont repris dans le paragraphe relatif à la sélection</w:t>
      </w:r>
      <w:r w:rsidRPr="007F0C4F">
        <w:rPr>
          <w:i/>
          <w:sz w:val="32"/>
        </w:rPr>
        <w:t xml:space="preserve"> </w:t>
      </w:r>
    </w:p>
    <w:p w:rsidR="009E4F1B" w:rsidRPr="00D41DE2" w:rsidRDefault="009E4F1B" w:rsidP="00F938BD">
      <w:pPr>
        <w:pStyle w:val="Titre2"/>
        <w:rPr>
          <w:strike/>
        </w:rPr>
      </w:pPr>
      <w:bookmarkStart w:id="6" w:name="_Toc503796608"/>
      <w:r>
        <w:t>6. Variante(s)</w:t>
      </w:r>
      <w:bookmarkEnd w:id="6"/>
    </w:p>
    <w:p w:rsidR="009E4F1B" w:rsidRDefault="009E4F1B" w:rsidP="00F938BD">
      <w:pPr>
        <w:pBdr>
          <w:top w:val="single" w:sz="12" w:space="1" w:color="auto"/>
          <w:left w:val="single" w:sz="12" w:space="1" w:color="auto"/>
          <w:bottom w:val="single" w:sz="12" w:space="1" w:color="auto"/>
          <w:right w:val="single" w:sz="12" w:space="1" w:color="auto"/>
        </w:pBdr>
      </w:pPr>
      <w:r>
        <w:t>Les variantes libres sont interdites.</w:t>
      </w:r>
    </w:p>
    <w:p w:rsidR="009E4F1B" w:rsidRPr="006C089B" w:rsidRDefault="009E4F1B" w:rsidP="009E4F1B">
      <w:pPr>
        <w:rPr>
          <w:i/>
        </w:rPr>
      </w:pPr>
      <w:r w:rsidRPr="006C089B">
        <w:rPr>
          <w:i/>
        </w:rPr>
        <w:t>Si des variantes sont exigées ou autorisées, le pouvoir adjudicateur mentionne</w:t>
      </w:r>
      <w:r>
        <w:rPr>
          <w:i/>
        </w:rPr>
        <w:t>:</w:t>
      </w:r>
    </w:p>
    <w:p w:rsidR="009E4F1B" w:rsidRPr="006C089B" w:rsidRDefault="009E4F1B" w:rsidP="009E4F1B">
      <w:pPr>
        <w:rPr>
          <w:i/>
        </w:rPr>
      </w:pPr>
      <w:r w:rsidRPr="006C089B">
        <w:rPr>
          <w:i/>
        </w:rPr>
        <w:t>- les exigences minimales auxquelles elles devront satisfaire</w:t>
      </w:r>
    </w:p>
    <w:p w:rsidR="009E4F1B" w:rsidRPr="006C089B" w:rsidRDefault="009E4F1B" w:rsidP="009E4F1B">
      <w:pPr>
        <w:rPr>
          <w:i/>
        </w:rPr>
      </w:pPr>
      <w:r w:rsidRPr="006C089B">
        <w:rPr>
          <w:i/>
        </w:rPr>
        <w:t>- les exigences spécifiques relatives à leur mode d’introduction (avec l’offre de base ou dans un document séparé)</w:t>
      </w:r>
    </w:p>
    <w:p w:rsidR="009E4F1B" w:rsidRPr="00F938BD" w:rsidRDefault="009E4F1B" w:rsidP="00F938BD">
      <w:pPr>
        <w:rPr>
          <w:i/>
        </w:rPr>
      </w:pPr>
      <w:r w:rsidRPr="006C089B">
        <w:rPr>
          <w:i/>
        </w:rPr>
        <w:t>- si ces variantes ne peuvent être introduites qu’à condition qu’une offre de base soit également déposée</w:t>
      </w:r>
      <w:r>
        <w:rPr>
          <w:i/>
        </w:rPr>
        <w:t>.</w:t>
      </w:r>
    </w:p>
    <w:p w:rsidR="009E4F1B" w:rsidRPr="008A56D7" w:rsidRDefault="009E4F1B" w:rsidP="00F938BD">
      <w:pPr>
        <w:pStyle w:val="Titre2"/>
      </w:pPr>
      <w:bookmarkStart w:id="7" w:name="_Toc503796609"/>
      <w:r>
        <w:t>7</w:t>
      </w:r>
      <w:r w:rsidRPr="008A56D7">
        <w:t xml:space="preserve">. </w:t>
      </w:r>
      <w:r w:rsidRPr="009E0A56">
        <w:t>Option</w:t>
      </w:r>
      <w:r>
        <w:t>(</w:t>
      </w:r>
      <w:r w:rsidRPr="009E0A56">
        <w:t>s</w:t>
      </w:r>
      <w:r>
        <w:t>)</w:t>
      </w:r>
      <w:bookmarkEnd w:id="7"/>
    </w:p>
    <w:p w:rsidR="009E4F1B" w:rsidRPr="008A56D7" w:rsidRDefault="009E4F1B" w:rsidP="009E4F1B">
      <w:pPr>
        <w:pBdr>
          <w:top w:val="single" w:sz="12" w:space="1" w:color="auto"/>
          <w:left w:val="single" w:sz="12" w:space="1" w:color="auto"/>
          <w:bottom w:val="single" w:sz="12" w:space="1" w:color="auto"/>
          <w:right w:val="single" w:sz="12" w:space="1" w:color="auto"/>
        </w:pBdr>
      </w:pPr>
      <w:r w:rsidRPr="008A56D7">
        <w:t xml:space="preserve">Les options </w:t>
      </w:r>
      <w:r>
        <w:t xml:space="preserve">libres </w:t>
      </w:r>
      <w:r w:rsidRPr="008A56D7">
        <w:t>sont interdites.</w:t>
      </w:r>
    </w:p>
    <w:p w:rsidR="009E4F1B" w:rsidRPr="006C089B" w:rsidRDefault="009E4F1B" w:rsidP="009E4F1B">
      <w:pPr>
        <w:rPr>
          <w:i/>
        </w:rPr>
      </w:pPr>
      <w:r w:rsidRPr="006C089B">
        <w:rPr>
          <w:i/>
        </w:rPr>
        <w:t>Si des options sont exigées ou autorisées, le pouvoir adjudicateur mentionne</w:t>
      </w:r>
      <w:r>
        <w:rPr>
          <w:i/>
        </w:rPr>
        <w:t>:</w:t>
      </w:r>
    </w:p>
    <w:p w:rsidR="009E4F1B" w:rsidRPr="006C089B" w:rsidRDefault="009E4F1B" w:rsidP="009E4F1B">
      <w:pPr>
        <w:rPr>
          <w:i/>
        </w:rPr>
      </w:pPr>
      <w:r w:rsidRPr="006C089B">
        <w:rPr>
          <w:i/>
        </w:rPr>
        <w:t>- les exigences minimales auxquelles elles devront satisfaire</w:t>
      </w:r>
    </w:p>
    <w:p w:rsidR="009E4F1B" w:rsidRPr="006C089B" w:rsidRDefault="009E4F1B" w:rsidP="009E4F1B">
      <w:pPr>
        <w:rPr>
          <w:i/>
        </w:rPr>
      </w:pPr>
      <w:r w:rsidRPr="006C089B">
        <w:rPr>
          <w:i/>
        </w:rPr>
        <w:t>- les exigences spécifiques relatives à leur mode d’introduction</w:t>
      </w:r>
    </w:p>
    <w:p w:rsidR="009E4F1B" w:rsidRDefault="009E4F1B" w:rsidP="009E4F1B">
      <w:pPr>
        <w:rPr>
          <w:i/>
        </w:rPr>
      </w:pPr>
      <w:r w:rsidRPr="006C089B">
        <w:rPr>
          <w:i/>
        </w:rPr>
        <w:t>- que ces options ne peuvent être introduites sans offre de base ou, le cas échéant, sans variante</w:t>
      </w:r>
      <w:r>
        <w:rPr>
          <w:i/>
        </w:rPr>
        <w:t xml:space="preserve">.  </w:t>
      </w:r>
    </w:p>
    <w:p w:rsidR="009E4F1B" w:rsidRDefault="009E4F1B" w:rsidP="00F938BD">
      <w:pPr>
        <w:pStyle w:val="Titre2"/>
      </w:pPr>
      <w:bookmarkStart w:id="8" w:name="_Toc503796610"/>
      <w:r>
        <w:t>8. Mode de passation du marché</w:t>
      </w:r>
      <w:bookmarkEnd w:id="8"/>
    </w:p>
    <w:p w:rsidR="009E4F1B" w:rsidRPr="006C089B" w:rsidRDefault="009E4F1B" w:rsidP="009E4F1B">
      <w:pPr>
        <w:pBdr>
          <w:top w:val="single" w:sz="12" w:space="1" w:color="auto"/>
          <w:left w:val="single" w:sz="12" w:space="4" w:color="auto"/>
          <w:bottom w:val="single" w:sz="12" w:space="1" w:color="auto"/>
          <w:right w:val="single" w:sz="12" w:space="4" w:color="auto"/>
        </w:pBdr>
      </w:pPr>
      <w:r w:rsidRPr="006C089B">
        <w:t>Indiquer le mode de passation</w:t>
      </w:r>
      <w:r>
        <w:t>:</w:t>
      </w:r>
    </w:p>
    <w:p w:rsidR="009E4F1B" w:rsidRPr="006C089B" w:rsidRDefault="009E4F1B" w:rsidP="009E4F1B">
      <w:pPr>
        <w:pBdr>
          <w:top w:val="single" w:sz="12" w:space="1" w:color="auto"/>
          <w:left w:val="single" w:sz="12" w:space="4" w:color="auto"/>
          <w:bottom w:val="single" w:sz="12" w:space="1" w:color="auto"/>
          <w:right w:val="single" w:sz="12" w:space="4" w:color="auto"/>
        </w:pBdr>
      </w:pPr>
      <w:r w:rsidRPr="006C089B">
        <w:t>- procédure ouverte (article 36 de la loi du 17/06/2016)</w:t>
      </w:r>
    </w:p>
    <w:p w:rsidR="009E4F1B" w:rsidRPr="006C089B" w:rsidRDefault="009E4F1B" w:rsidP="009E4F1B">
      <w:pPr>
        <w:pBdr>
          <w:top w:val="single" w:sz="12" w:space="1" w:color="auto"/>
          <w:left w:val="single" w:sz="12" w:space="4" w:color="auto"/>
          <w:bottom w:val="single" w:sz="12" w:space="1" w:color="auto"/>
          <w:right w:val="single" w:sz="12" w:space="4" w:color="auto"/>
        </w:pBdr>
      </w:pPr>
      <w:r w:rsidRPr="006C089B">
        <w:t>-</w:t>
      </w:r>
      <w:r>
        <w:t xml:space="preserve"> </w:t>
      </w:r>
      <w:r w:rsidRPr="006C089B">
        <w:t>procédure négociée directe avec publication préalable (article 41 de la loi)</w:t>
      </w:r>
    </w:p>
    <w:p w:rsidR="009E4F1B" w:rsidRPr="006C089B" w:rsidRDefault="009E4F1B" w:rsidP="009E4F1B">
      <w:pPr>
        <w:pBdr>
          <w:top w:val="single" w:sz="12" w:space="1" w:color="auto"/>
          <w:left w:val="single" w:sz="12" w:space="4" w:color="auto"/>
          <w:bottom w:val="single" w:sz="12" w:space="1" w:color="auto"/>
          <w:right w:val="single" w:sz="12" w:space="4" w:color="auto"/>
        </w:pBdr>
      </w:pPr>
      <w:r w:rsidRPr="006C089B">
        <w:lastRenderedPageBreak/>
        <w:t xml:space="preserve">- procédure négociée sans publication </w:t>
      </w:r>
      <w:r>
        <w:t>préalable (article 42 de la loi</w:t>
      </w:r>
      <w:r w:rsidRPr="006C089B">
        <w:t>)</w:t>
      </w:r>
      <w:r>
        <w:t>.</w:t>
      </w:r>
    </w:p>
    <w:p w:rsidR="00C3765C" w:rsidRPr="00E34FF3" w:rsidRDefault="00C3765C" w:rsidP="00F938BD">
      <w:pPr>
        <w:pStyle w:val="Titre2"/>
      </w:pPr>
      <w:bookmarkStart w:id="9" w:name="_Toc503796611"/>
      <w:r>
        <w:t>9</w:t>
      </w:r>
      <w:r w:rsidRPr="00E34FF3">
        <w:t xml:space="preserve">. </w:t>
      </w:r>
      <w:r>
        <w:t>S</w:t>
      </w:r>
      <w:r w:rsidRPr="00E34FF3">
        <w:t>élection</w:t>
      </w:r>
      <w:bookmarkEnd w:id="9"/>
    </w:p>
    <w:p w:rsidR="00C3765C" w:rsidRPr="006C10F4" w:rsidRDefault="00C3765C" w:rsidP="00F938BD">
      <w:pPr>
        <w:pStyle w:val="Titre3"/>
      </w:pPr>
      <w:bookmarkStart w:id="10" w:name="_Toc503796612"/>
      <w:r w:rsidRPr="006C10F4">
        <w:t>9.1. Motifs d’exclusion</w:t>
      </w:r>
      <w:bookmarkEnd w:id="10"/>
    </w:p>
    <w:p w:rsidR="00C3765C" w:rsidRPr="003B66C0" w:rsidRDefault="00C3765C" w:rsidP="00F938BD">
      <w:pPr>
        <w:pStyle w:val="Titre4"/>
      </w:pPr>
      <w:r>
        <w:t xml:space="preserve">a) </w:t>
      </w:r>
      <w:r w:rsidRPr="003B66C0">
        <w:t xml:space="preserve">Motifs </w:t>
      </w:r>
      <w:r w:rsidRPr="00F938BD">
        <w:t>d’exclusion</w:t>
      </w:r>
      <w:r w:rsidRPr="003B66C0">
        <w:t xml:space="preserve"> obligatoire</w:t>
      </w:r>
    </w:p>
    <w:p w:rsidR="00C3765C" w:rsidRPr="009E190A" w:rsidRDefault="00C3765C" w:rsidP="009E190A">
      <w:r w:rsidRPr="005963E0">
        <w:t>Ces motifs sont ceux qui sont énumérés aux articles 67 de la loi du 17 juin 2016 et 61 de l’arrêté royal du 18 avril 2017.</w:t>
      </w:r>
    </w:p>
    <w:p w:rsidR="00C3765C" w:rsidRDefault="00C3765C" w:rsidP="00F938BD">
      <w:pPr>
        <w:pStyle w:val="Titre4"/>
      </w:pPr>
      <w:r>
        <w:t xml:space="preserve">b) </w:t>
      </w:r>
      <w:r w:rsidRPr="003B66C0">
        <w:t>Motifs d’exclusion facultative</w:t>
      </w:r>
    </w:p>
    <w:p w:rsidR="00C3765C" w:rsidRPr="009E190A" w:rsidRDefault="00C3765C" w:rsidP="00C3765C">
      <w:r w:rsidRPr="005963E0">
        <w:t>Tout soumissionnaire qui se trouve dans une situation visée à l’article 69 de la loi du 1</w:t>
      </w:r>
      <w:r>
        <w:t xml:space="preserve">7 juin </w:t>
      </w:r>
      <w:r w:rsidRPr="005963E0">
        <w:t xml:space="preserve">2016 peut être exclu de la procédure de passation du marché conformément aux conditions posées par cet article. </w:t>
      </w:r>
    </w:p>
    <w:p w:rsidR="00C3765C" w:rsidRPr="003B66C0" w:rsidRDefault="00C3765C" w:rsidP="00F938BD">
      <w:pPr>
        <w:pStyle w:val="Titre4"/>
      </w:pPr>
      <w:r>
        <w:t>c) Mesures correctrices (article 70 de la loi)</w:t>
      </w:r>
    </w:p>
    <w:p w:rsidR="00C3765C" w:rsidRPr="003B66C0" w:rsidRDefault="00C3765C" w:rsidP="00C3765C">
      <w:r w:rsidRPr="003B66C0">
        <w:t>Tout soumissionnaire qui se trouve dans l’une des situat</w:t>
      </w:r>
      <w:r>
        <w:t>ions visées ci-dessus aux points 9</w:t>
      </w:r>
      <w:r w:rsidRPr="003B66C0">
        <w:t>.1 a)</w:t>
      </w:r>
      <w:r>
        <w:t xml:space="preserve"> et 9</w:t>
      </w:r>
      <w:r w:rsidRPr="003B66C0">
        <w:t>.1.b) peut fournir des preuves afin d’attester que les mesures qu’il a prises suffisent à démontrer sa fiabilité malgré l’existence d’un motif d’exclusion.</w:t>
      </w:r>
    </w:p>
    <w:p w:rsidR="0018723E" w:rsidRDefault="0018723E">
      <w:pPr>
        <w:spacing w:before="0" w:after="200" w:line="276" w:lineRule="auto"/>
        <w:jc w:val="left"/>
        <w:rPr>
          <w:u w:val="single"/>
        </w:rPr>
      </w:pPr>
    </w:p>
    <w:p w:rsidR="00C3765C" w:rsidRPr="006C10F4" w:rsidRDefault="00C3765C" w:rsidP="00F938BD">
      <w:pPr>
        <w:pStyle w:val="Titre3"/>
      </w:pPr>
      <w:bookmarkStart w:id="11" w:name="_Toc503796613"/>
      <w:r w:rsidRPr="006C10F4">
        <w:t>9.2. Dettes sociales et fiscales (article 68 de la loi et articles 62 et 63 de l’ARP)</w:t>
      </w:r>
      <w:bookmarkEnd w:id="11"/>
    </w:p>
    <w:p w:rsidR="00C3765C" w:rsidRPr="009039EB" w:rsidRDefault="00C3765C" w:rsidP="00C3765C">
      <w:r>
        <w:t xml:space="preserve">Est </w:t>
      </w:r>
      <w:r w:rsidRPr="009039EB">
        <w:t>exclu de la participation à la procédure de passation, à quelque stade que ce soit, le soumissionnaire qui ne satisfait pas à ses obligations relatives au paiement d’impôts et taxes ou de cotisations de sécurité sociale.</w:t>
      </w:r>
    </w:p>
    <w:p w:rsidR="00C3765C" w:rsidRDefault="00C3765C" w:rsidP="00C3765C">
      <w:r>
        <w:t>Peut</w:t>
      </w:r>
      <w:r w:rsidRPr="009039EB">
        <w:t xml:space="preserve"> néanmoins être admis à participer à la procédure, le soumissionnaire qui n’</w:t>
      </w:r>
      <w:r>
        <w:t>a pas une dette de</w:t>
      </w:r>
      <w:r w:rsidRPr="009039EB">
        <w:t xml:space="preserve"> cotisations</w:t>
      </w:r>
      <w:r>
        <w:t xml:space="preserve"> sociales</w:t>
      </w:r>
      <w:r w:rsidRPr="009039EB">
        <w:t xml:space="preserve"> ou u</w:t>
      </w:r>
      <w:r>
        <w:t xml:space="preserve">ne dette fiscale supérieure à 3 </w:t>
      </w:r>
      <w:r w:rsidRPr="009039EB">
        <w:t xml:space="preserve">000 </w:t>
      </w:r>
      <w:r>
        <w:t>€</w:t>
      </w:r>
      <w:r w:rsidRPr="009039EB">
        <w:t xml:space="preserve"> ou qui</w:t>
      </w:r>
      <w:r>
        <w:t xml:space="preserve"> peut faire valoir une des situations exonératoires visées aux articles 62 et 63 de l’ARP.</w:t>
      </w:r>
    </w:p>
    <w:p w:rsidR="00C3765C" w:rsidRPr="006C10F4" w:rsidRDefault="00C3765C" w:rsidP="00F938BD">
      <w:pPr>
        <w:pStyle w:val="Titre3"/>
      </w:pPr>
      <w:r w:rsidRPr="009039EB">
        <w:t xml:space="preserve"> </w:t>
      </w:r>
      <w:bookmarkStart w:id="12" w:name="_Toc503796614"/>
      <w:r w:rsidRPr="006C10F4">
        <w:t>9.3. Critères de sélection qualitative</w:t>
      </w:r>
      <w:bookmarkEnd w:id="12"/>
    </w:p>
    <w:p w:rsidR="00C3765C" w:rsidRPr="000A3DEC" w:rsidRDefault="00C3765C" w:rsidP="00C3765C">
      <w:r>
        <w:t>Pour satisfaire à la sélection qualitative, les soumissionnaires doivent justifier d’une agréation d’entrepreneur (loi du 20 mars 1991) comme précisé ci-dessous:</w:t>
      </w:r>
    </w:p>
    <w:p w:rsidR="00C3765C" w:rsidRPr="006D5FD7" w:rsidRDefault="00C3765C" w:rsidP="00C3765C">
      <w:pPr>
        <w:pStyle w:val="Commentaire"/>
        <w:jc w:val="both"/>
        <w:rPr>
          <w:rFonts w:ascii="Arial" w:hAnsi="Arial" w:cs="Arial"/>
          <w:b/>
          <w:bCs/>
          <w:i/>
          <w:color w:val="auto"/>
          <w:sz w:val="24"/>
          <w:szCs w:val="24"/>
        </w:rPr>
      </w:pPr>
    </w:p>
    <w:p w:rsidR="00C3765C" w:rsidRPr="006D5FD7" w:rsidRDefault="00C3765C" w:rsidP="00C3765C">
      <w:pPr>
        <w:pStyle w:val="Commentaire"/>
        <w:pBdr>
          <w:top w:val="single" w:sz="12" w:space="1" w:color="auto"/>
          <w:left w:val="single" w:sz="12" w:space="4" w:color="auto"/>
          <w:bottom w:val="single" w:sz="12" w:space="1" w:color="auto"/>
          <w:right w:val="single" w:sz="12" w:space="4" w:color="auto"/>
        </w:pBdr>
        <w:jc w:val="both"/>
        <w:rPr>
          <w:rFonts w:ascii="Arial" w:hAnsi="Arial" w:cs="Arial"/>
          <w:bCs/>
          <w:color w:val="auto"/>
          <w:sz w:val="24"/>
          <w:szCs w:val="24"/>
        </w:rPr>
      </w:pPr>
      <w:r w:rsidRPr="006D5FD7">
        <w:rPr>
          <w:rFonts w:ascii="Arial" w:hAnsi="Arial" w:cs="Arial"/>
          <w:bCs/>
          <w:color w:val="auto"/>
          <w:sz w:val="24"/>
          <w:szCs w:val="24"/>
        </w:rPr>
        <w:t>Les travaux sont rangés dans la (les) catégories(s) … ou la (les) sous-catégories … et l’Administration estime qu’ils rentrent dans la classe…</w:t>
      </w:r>
    </w:p>
    <w:p w:rsidR="00C3765C" w:rsidRPr="006D5FD7" w:rsidRDefault="00C3765C" w:rsidP="00C3765C">
      <w:pPr>
        <w:pStyle w:val="Corpsdetexte"/>
        <w:pBdr>
          <w:top w:val="single" w:sz="12" w:space="1" w:color="auto"/>
          <w:left w:val="single" w:sz="12" w:space="4" w:color="auto"/>
          <w:bottom w:val="single" w:sz="12" w:space="1" w:color="auto"/>
          <w:right w:val="single" w:sz="12" w:space="4" w:color="auto"/>
        </w:pBdr>
        <w:rPr>
          <w:rFonts w:ascii="Arial" w:hAnsi="Arial" w:cs="Arial"/>
          <w:i w:val="0"/>
          <w:szCs w:val="24"/>
        </w:rPr>
      </w:pPr>
    </w:p>
    <w:p w:rsidR="00C3765C" w:rsidRPr="006D5FD7" w:rsidRDefault="00C3765C" w:rsidP="00C3765C">
      <w:pPr>
        <w:pStyle w:val="Corpsdetexte"/>
        <w:pBdr>
          <w:top w:val="single" w:sz="12" w:space="1" w:color="auto"/>
          <w:left w:val="single" w:sz="12" w:space="4" w:color="auto"/>
          <w:bottom w:val="single" w:sz="12" w:space="1" w:color="auto"/>
          <w:right w:val="single" w:sz="12" w:space="4" w:color="auto"/>
        </w:pBdr>
        <w:rPr>
          <w:rFonts w:ascii="Arial" w:hAnsi="Arial" w:cs="Arial"/>
          <w:i w:val="0"/>
          <w:szCs w:val="24"/>
        </w:rPr>
      </w:pPr>
      <w:r w:rsidRPr="006D5FD7">
        <w:rPr>
          <w:rFonts w:ascii="Arial" w:hAnsi="Arial" w:cs="Arial"/>
          <w:i w:val="0"/>
          <w:szCs w:val="24"/>
        </w:rPr>
        <w:t xml:space="preserve">La classe d’agréation </w:t>
      </w:r>
      <w:r w:rsidRPr="006D5FD7">
        <w:rPr>
          <w:rFonts w:ascii="Arial" w:hAnsi="Arial" w:cs="Arial"/>
          <w:i w:val="0"/>
          <w:szCs w:val="24"/>
          <w:u w:val="single"/>
        </w:rPr>
        <w:t>effectivement requise</w:t>
      </w:r>
      <w:r w:rsidRPr="006D5FD7">
        <w:rPr>
          <w:rFonts w:ascii="Arial" w:hAnsi="Arial" w:cs="Arial"/>
          <w:i w:val="0"/>
          <w:szCs w:val="24"/>
        </w:rPr>
        <w:t xml:space="preserve"> est déterminée par le </w:t>
      </w:r>
      <w:r w:rsidRPr="006D5FD7">
        <w:rPr>
          <w:rFonts w:ascii="Arial" w:hAnsi="Arial" w:cs="Arial"/>
          <w:i w:val="0"/>
          <w:szCs w:val="24"/>
          <w:u w:val="single"/>
        </w:rPr>
        <w:t>montant de l’offre à approuver</w:t>
      </w:r>
      <w:r w:rsidRPr="006D5FD7">
        <w:rPr>
          <w:rFonts w:ascii="Arial" w:hAnsi="Arial" w:cs="Arial"/>
          <w:i w:val="0"/>
          <w:szCs w:val="24"/>
        </w:rPr>
        <w:t>.</w:t>
      </w:r>
    </w:p>
    <w:p w:rsidR="00C3765C" w:rsidRPr="001A1569" w:rsidRDefault="00C3765C" w:rsidP="00C3765C">
      <w:pPr>
        <w:pStyle w:val="Corpsdetexte"/>
        <w:jc w:val="left"/>
        <w:rPr>
          <w:i w:val="0"/>
        </w:rPr>
      </w:pPr>
    </w:p>
    <w:p w:rsidR="00C3765C" w:rsidRPr="004D33A3" w:rsidRDefault="00C3765C" w:rsidP="00C3765C">
      <w:pPr>
        <w:pStyle w:val="Corpsdetexte"/>
        <w:numPr>
          <w:ilvl w:val="0"/>
          <w:numId w:val="1"/>
        </w:numPr>
      </w:pPr>
      <w:r w:rsidRPr="004D33A3">
        <w:rPr>
          <w:bCs/>
        </w:rPr>
        <w:t>La catégorie ou sous-catégorie dans laquelle un marché comprenant des travaux classés dans différentes catégories et/ou sous-catégories doit être rangé est celle dans laquelle rentre la partie de l'ouvrage à exécuter dont le montant représente le pourcentage le plus élevé du montant du marché. Dans le cas où l'ouvrage comprend des travaux de nature différente, dont l'importance relative est plus</w:t>
      </w:r>
      <w:r>
        <w:rPr>
          <w:bCs/>
        </w:rPr>
        <w:t xml:space="preserve"> ou moins égale, celui-ci peut</w:t>
      </w:r>
      <w:r w:rsidRPr="004D33A3">
        <w:rPr>
          <w:bCs/>
        </w:rPr>
        <w:t xml:space="preserve"> être classé dans plusieurs des </w:t>
      </w:r>
      <w:r w:rsidRPr="004D33A3">
        <w:rPr>
          <w:bCs/>
        </w:rPr>
        <w:lastRenderedPageBreak/>
        <w:t xml:space="preserve">catégories ou sous-catégories concernées. En toute hypothèse, </w:t>
      </w:r>
      <w:r>
        <w:rPr>
          <w:bCs/>
        </w:rPr>
        <w:t>l'adjudicataire ne doit</w:t>
      </w:r>
      <w:r w:rsidRPr="004D33A3">
        <w:rPr>
          <w:bCs/>
        </w:rPr>
        <w:t xml:space="preserve"> être agréé que dans l'une des catégories ou sous-catégories prévues.</w:t>
      </w:r>
    </w:p>
    <w:p w:rsidR="00C3765C" w:rsidRDefault="00C3765C" w:rsidP="00C3765C">
      <w:pPr>
        <w:pStyle w:val="Corpsdetexte"/>
        <w:numPr>
          <w:ilvl w:val="0"/>
          <w:numId w:val="1"/>
        </w:numPr>
        <w:rPr>
          <w:i w:val="0"/>
        </w:rPr>
      </w:pPr>
      <w:r w:rsidRPr="004D33A3">
        <w:t>Lorsque les travaux relèvent d’une seule sous-catégorie d’agréation, il n’est pas permis d’exiger également l’agréation dans la catégorie correspondante</w:t>
      </w:r>
      <w:r w:rsidRPr="004D33A3">
        <w:rPr>
          <w:i w:val="0"/>
        </w:rPr>
        <w:t>.</w:t>
      </w:r>
    </w:p>
    <w:p w:rsidR="009E190A" w:rsidRPr="00B413F9" w:rsidRDefault="009E190A" w:rsidP="009E190A">
      <w:pPr>
        <w:pStyle w:val="Corpsdetexte"/>
        <w:ind w:left="644"/>
        <w:rPr>
          <w:i w:val="0"/>
        </w:rPr>
      </w:pPr>
    </w:p>
    <w:p w:rsidR="00C3765C" w:rsidRPr="006D5FD7" w:rsidRDefault="00C3765C" w:rsidP="00C3765C">
      <w:pPr>
        <w:pStyle w:val="Commentaire"/>
        <w:pBdr>
          <w:top w:val="single" w:sz="12" w:space="1" w:color="auto"/>
          <w:left w:val="single" w:sz="12" w:space="4" w:color="auto"/>
          <w:bottom w:val="single" w:sz="12" w:space="1" w:color="auto"/>
          <w:right w:val="single" w:sz="12" w:space="4" w:color="auto"/>
        </w:pBdr>
        <w:jc w:val="both"/>
        <w:rPr>
          <w:rFonts w:ascii="Arial" w:hAnsi="Arial" w:cs="Arial"/>
          <w:bCs/>
          <w:i/>
          <w:color w:val="auto"/>
          <w:sz w:val="24"/>
          <w:szCs w:val="24"/>
        </w:rPr>
      </w:pPr>
      <w:r w:rsidRPr="006D5FD7">
        <w:rPr>
          <w:rFonts w:ascii="Arial" w:hAnsi="Arial" w:cs="Arial"/>
          <w:bCs/>
          <w:color w:val="auto"/>
          <w:sz w:val="24"/>
          <w:szCs w:val="24"/>
        </w:rPr>
        <w:t>Le soumissionnaire agréé en vertu de la loi du 20 mars 1991 ne doit pas joindre un certificat d’agréation, la vérification de sa situation est faite par le pouvoir adjudicateur via la banque de données des entrepreneurs agréés sur le site internet du SPF Economie, P.M.E., Classes moyennes et Energie.</w:t>
      </w:r>
    </w:p>
    <w:p w:rsidR="00C3765C" w:rsidRPr="006D5FD7" w:rsidRDefault="00C3765C" w:rsidP="00C3765C">
      <w:pPr>
        <w:pStyle w:val="Commentaire"/>
        <w:pBdr>
          <w:top w:val="single" w:sz="12" w:space="1" w:color="auto"/>
          <w:left w:val="single" w:sz="12" w:space="4" w:color="auto"/>
          <w:bottom w:val="single" w:sz="12" w:space="1" w:color="auto"/>
          <w:right w:val="single" w:sz="12" w:space="4" w:color="auto"/>
        </w:pBdr>
        <w:jc w:val="both"/>
        <w:rPr>
          <w:rFonts w:ascii="Arial" w:hAnsi="Arial" w:cs="Arial"/>
          <w:bCs/>
          <w:i/>
          <w:color w:val="auto"/>
          <w:sz w:val="24"/>
          <w:szCs w:val="24"/>
        </w:rPr>
      </w:pPr>
    </w:p>
    <w:p w:rsidR="00C3765C" w:rsidRPr="006D5FD7" w:rsidRDefault="00C3765C" w:rsidP="00C3765C">
      <w:pPr>
        <w:pStyle w:val="Commentaire"/>
        <w:pBdr>
          <w:top w:val="single" w:sz="12" w:space="1" w:color="auto"/>
          <w:left w:val="single" w:sz="12" w:space="4" w:color="auto"/>
          <w:bottom w:val="single" w:sz="12" w:space="1" w:color="auto"/>
          <w:right w:val="single" w:sz="12" w:space="4" w:color="auto"/>
        </w:pBdr>
        <w:jc w:val="both"/>
        <w:rPr>
          <w:rFonts w:ascii="Arial" w:hAnsi="Arial" w:cs="Arial"/>
          <w:bCs/>
          <w:i/>
          <w:color w:val="auto"/>
          <w:sz w:val="24"/>
          <w:szCs w:val="24"/>
        </w:rPr>
      </w:pPr>
      <w:r w:rsidRPr="006D5FD7">
        <w:rPr>
          <w:rFonts w:ascii="Arial" w:hAnsi="Arial" w:cs="Arial"/>
          <w:bCs/>
          <w:color w:val="auto"/>
          <w:sz w:val="24"/>
          <w:szCs w:val="24"/>
        </w:rPr>
        <w:t>Le soumissionnaire agréé ou inscrit sur une liste officielle d’un autre Etat membre précise l’adresse web qui permet au pouvoir adjudicateur d’accéder aux informations utiles ou, à défaut, joint copie du certificat approprié ou de la preuve d’inscription ainsi que tout document de nature à établir l’équivalence de cette certification ou inscription avec l’agréation belge.</w:t>
      </w:r>
    </w:p>
    <w:p w:rsidR="00C3765C" w:rsidRPr="006D5FD7" w:rsidRDefault="00C3765C" w:rsidP="00C3765C">
      <w:pPr>
        <w:pStyle w:val="Commentaire"/>
        <w:pBdr>
          <w:top w:val="single" w:sz="12" w:space="1" w:color="auto"/>
          <w:left w:val="single" w:sz="12" w:space="4" w:color="auto"/>
          <w:bottom w:val="single" w:sz="12" w:space="1" w:color="auto"/>
          <w:right w:val="single" w:sz="12" w:space="4" w:color="auto"/>
        </w:pBdr>
        <w:jc w:val="both"/>
        <w:rPr>
          <w:rFonts w:ascii="Arial" w:hAnsi="Arial" w:cs="Arial"/>
          <w:bCs/>
          <w:i/>
          <w:color w:val="auto"/>
          <w:sz w:val="24"/>
          <w:szCs w:val="24"/>
        </w:rPr>
      </w:pPr>
    </w:p>
    <w:p w:rsidR="00C3765C" w:rsidRPr="006D5FD7" w:rsidRDefault="00C3765C" w:rsidP="00C3765C">
      <w:pPr>
        <w:pStyle w:val="Commentaire"/>
        <w:pBdr>
          <w:top w:val="single" w:sz="12" w:space="1" w:color="auto"/>
          <w:left w:val="single" w:sz="12" w:space="4" w:color="auto"/>
          <w:bottom w:val="single" w:sz="12" w:space="1" w:color="auto"/>
          <w:right w:val="single" w:sz="12" w:space="4" w:color="auto"/>
        </w:pBdr>
        <w:jc w:val="both"/>
        <w:rPr>
          <w:rFonts w:ascii="Arial" w:hAnsi="Arial" w:cs="Arial"/>
          <w:bCs/>
          <w:color w:val="auto"/>
          <w:sz w:val="24"/>
          <w:szCs w:val="24"/>
        </w:rPr>
      </w:pPr>
      <w:r w:rsidRPr="006D5FD7">
        <w:rPr>
          <w:rFonts w:ascii="Arial" w:hAnsi="Arial" w:cs="Arial"/>
          <w:bCs/>
          <w:color w:val="auto"/>
          <w:sz w:val="24"/>
          <w:szCs w:val="24"/>
        </w:rPr>
        <w:t>Le soumissionnaire qui n’est ni agréé en vertu de la loi du 20 mars 1991 ni dans un autre Etat membre (ou non inscrit sur une liste officielle) doit joindre à son offre les pièces justificatives nécessaires qui démontrent qu’il remplit les conditions d'agréation visées à l'article 4, § 1er de la loi précitée.</w:t>
      </w:r>
    </w:p>
    <w:p w:rsidR="00C3765C" w:rsidRPr="00AB46D5" w:rsidRDefault="00C3765C" w:rsidP="00C3765C">
      <w:pPr>
        <w:pStyle w:val="Corpsdetexte"/>
        <w:pBdr>
          <w:top w:val="single" w:sz="12" w:space="1" w:color="auto"/>
          <w:left w:val="single" w:sz="12" w:space="4" w:color="auto"/>
          <w:bottom w:val="single" w:sz="12" w:space="1" w:color="auto"/>
          <w:right w:val="single" w:sz="12" w:space="4" w:color="auto"/>
        </w:pBdr>
        <w:rPr>
          <w:i w:val="0"/>
          <w:szCs w:val="24"/>
        </w:rPr>
      </w:pPr>
    </w:p>
    <w:p w:rsidR="0018723E" w:rsidRDefault="0018723E">
      <w:pPr>
        <w:spacing w:before="0" w:after="200" w:line="276" w:lineRule="auto"/>
        <w:jc w:val="left"/>
        <w:rPr>
          <w:rFonts w:ascii="Times New Roman" w:hAnsi="Times New Roman"/>
          <w:bCs/>
          <w:sz w:val="24"/>
          <w:u w:val="single"/>
        </w:rPr>
      </w:pPr>
    </w:p>
    <w:p w:rsidR="00C3765C" w:rsidRDefault="00C3765C" w:rsidP="00F938BD">
      <w:pPr>
        <w:pStyle w:val="Titre3"/>
        <w:rPr>
          <w:szCs w:val="24"/>
        </w:rPr>
      </w:pPr>
      <w:bookmarkStart w:id="13" w:name="_Toc503796615"/>
      <w:r w:rsidRPr="006C10F4">
        <w:t>9.4. Document</w:t>
      </w:r>
      <w:r>
        <w:t xml:space="preserve"> à joindre à l’offre</w:t>
      </w:r>
      <w:bookmarkEnd w:id="13"/>
      <w:r>
        <w:t xml:space="preserve"> </w:t>
      </w:r>
    </w:p>
    <w:p w:rsidR="00C3765C" w:rsidRPr="00453E76" w:rsidRDefault="00C3765C" w:rsidP="0018723E">
      <w:pPr>
        <w:pBdr>
          <w:top w:val="single" w:sz="12" w:space="1" w:color="auto"/>
          <w:left w:val="single" w:sz="12" w:space="4" w:color="auto"/>
          <w:bottom w:val="single" w:sz="12" w:space="1" w:color="auto"/>
          <w:right w:val="single" w:sz="12" w:space="4" w:color="auto"/>
        </w:pBdr>
        <w:rPr>
          <w:i/>
          <w:szCs w:val="24"/>
        </w:rPr>
      </w:pPr>
      <w:r w:rsidRPr="0018723E">
        <w:rPr>
          <w:szCs w:val="24"/>
          <w:lang w:val="fr-BE"/>
        </w:rPr>
        <w:t>Choisir</w:t>
      </w:r>
      <w:r w:rsidR="00282CFE">
        <w:rPr>
          <w:szCs w:val="24"/>
          <w:lang w:val="fr-BE"/>
        </w:rPr>
        <w:t xml:space="preserve"> le cas de figure</w:t>
      </w:r>
      <w:r w:rsidRPr="00453E76">
        <w:rPr>
          <w:szCs w:val="24"/>
        </w:rPr>
        <w:t xml:space="preserve"> en fonction du montant estimé du marché</w:t>
      </w:r>
      <w:r>
        <w:rPr>
          <w:szCs w:val="24"/>
        </w:rPr>
        <w:t>.</w:t>
      </w:r>
    </w:p>
    <w:p w:rsidR="00C3765C" w:rsidRPr="00453E76" w:rsidRDefault="00C3765C" w:rsidP="00C3765C">
      <w:pPr>
        <w:pStyle w:val="Corpsdetexte"/>
        <w:rPr>
          <w:bCs/>
          <w:i w:val="0"/>
          <w:u w:val="single"/>
        </w:rPr>
      </w:pPr>
    </w:p>
    <w:p w:rsidR="00C3765C" w:rsidRPr="006C10F4" w:rsidRDefault="00C3765C" w:rsidP="00C3765C">
      <w:pPr>
        <w:pStyle w:val="Corpsdetexte"/>
        <w:rPr>
          <w:bCs/>
          <w:i w:val="0"/>
          <w:u w:val="single"/>
        </w:rPr>
      </w:pPr>
      <w:r>
        <w:rPr>
          <w:szCs w:val="24"/>
        </w:rPr>
        <w:t>Pour mémoire</w:t>
      </w:r>
      <w:r w:rsidRPr="00453E76">
        <w:rPr>
          <w:szCs w:val="24"/>
        </w:rPr>
        <w:t>, en 2017, le</w:t>
      </w:r>
      <w:r>
        <w:rPr>
          <w:szCs w:val="24"/>
        </w:rPr>
        <w:t xml:space="preserve"> seuil</w:t>
      </w:r>
      <w:r w:rsidRPr="00082C07">
        <w:rPr>
          <w:szCs w:val="24"/>
        </w:rPr>
        <w:t xml:space="preserve"> de l</w:t>
      </w:r>
      <w:r>
        <w:rPr>
          <w:szCs w:val="24"/>
        </w:rPr>
        <w:t>a publicité européenne pour les marchés de travaux est de 5.</w:t>
      </w:r>
      <w:r w:rsidR="00282CFE">
        <w:rPr>
          <w:szCs w:val="24"/>
        </w:rPr>
        <w:t>548</w:t>
      </w:r>
      <w:r>
        <w:rPr>
          <w:szCs w:val="24"/>
        </w:rPr>
        <w:t>.000 € HTVA </w:t>
      </w:r>
    </w:p>
    <w:p w:rsidR="00C3765C" w:rsidRDefault="00C3765C" w:rsidP="00C3765C">
      <w:pPr>
        <w:pStyle w:val="Corpsdetexte"/>
        <w:rPr>
          <w:bCs/>
        </w:rPr>
      </w:pPr>
    </w:p>
    <w:p w:rsidR="00C3765C" w:rsidRPr="00453E76" w:rsidRDefault="00282CFE" w:rsidP="00F938BD">
      <w:pPr>
        <w:pStyle w:val="Titre4"/>
      </w:pPr>
      <w:r>
        <w:rPr>
          <w:u w:val="single"/>
        </w:rPr>
        <w:t xml:space="preserve">Cas de figure </w:t>
      </w:r>
      <w:r w:rsidR="00C3765C" w:rsidRPr="00D85624">
        <w:rPr>
          <w:u w:val="single"/>
        </w:rPr>
        <w:t>1</w:t>
      </w:r>
      <w:r w:rsidR="00C3765C">
        <w:t>:</w:t>
      </w:r>
      <w:r w:rsidR="00C3765C" w:rsidRPr="00453E76">
        <w:t xml:space="preserve"> Pour les marchés de montant estimé inférieur au seuil de l</w:t>
      </w:r>
      <w:r w:rsidR="00C3765C">
        <w:t>a publicité européenne, indiquer</w:t>
      </w:r>
      <w:r w:rsidR="00C3765C" w:rsidRPr="00453E76">
        <w:t>:</w:t>
      </w:r>
    </w:p>
    <w:p w:rsidR="00C3765C" w:rsidRDefault="00C3765C" w:rsidP="00C3765C">
      <w:pPr>
        <w:pStyle w:val="Corpsdetexte"/>
        <w:rPr>
          <w:bCs/>
          <w:i w:val="0"/>
          <w:color w:val="FF0000"/>
          <w:u w:val="single"/>
        </w:rPr>
      </w:pPr>
    </w:p>
    <w:p w:rsidR="00C3765C" w:rsidRPr="006C10F4" w:rsidRDefault="00C3765C" w:rsidP="00F938BD">
      <w:pPr>
        <w:pStyle w:val="Titre5"/>
      </w:pPr>
      <w:r w:rsidRPr="006C10F4">
        <w:t>9.4.</w:t>
      </w:r>
      <w:r>
        <w:t>1.</w:t>
      </w:r>
      <w:r w:rsidRPr="006C10F4">
        <w:t xml:space="preserve"> Déclaration implicite sur l’honneur</w:t>
      </w:r>
    </w:p>
    <w:p w:rsidR="00C3765C" w:rsidRDefault="00C3765C" w:rsidP="00C3765C">
      <w:pPr>
        <w:pBdr>
          <w:top w:val="single" w:sz="12" w:space="1" w:color="auto"/>
          <w:left w:val="single" w:sz="12" w:space="4" w:color="auto"/>
          <w:bottom w:val="single" w:sz="12" w:space="1" w:color="auto"/>
          <w:right w:val="single" w:sz="12" w:space="4" w:color="auto"/>
        </w:pBdr>
        <w:rPr>
          <w:szCs w:val="24"/>
          <w:lang w:val="fr-BE"/>
        </w:rPr>
      </w:pPr>
      <w:r w:rsidRPr="00B96EDE">
        <w:rPr>
          <w:szCs w:val="24"/>
          <w:lang w:val="fr-BE"/>
        </w:rPr>
        <w:t xml:space="preserve">Conformément à l’article 39 de l’arrêté royal du 18 avril 2017, le dépôt d’une offre constitue une </w:t>
      </w:r>
      <w:r w:rsidRPr="000B0DBF">
        <w:rPr>
          <w:szCs w:val="24"/>
          <w:lang w:val="fr-BE"/>
        </w:rPr>
        <w:t>déclaration implicite sur l’honneur</w:t>
      </w:r>
      <w:r w:rsidRPr="00B96EDE">
        <w:rPr>
          <w:szCs w:val="24"/>
          <w:lang w:val="fr-BE"/>
        </w:rPr>
        <w:t xml:space="preserve"> du soumissionnaire qu’il ne se trouve pas dans un des cas d</w:t>
      </w:r>
      <w:r>
        <w:rPr>
          <w:szCs w:val="24"/>
          <w:lang w:val="fr-BE"/>
        </w:rPr>
        <w:t>’exclusion visés aux  points 9.1. a) et 9.1. b).</w:t>
      </w:r>
    </w:p>
    <w:p w:rsidR="00C3765C" w:rsidRDefault="00C3765C" w:rsidP="00C3765C">
      <w:pPr>
        <w:pStyle w:val="Corpsdetexte"/>
        <w:rPr>
          <w:szCs w:val="24"/>
        </w:rPr>
      </w:pPr>
    </w:p>
    <w:p w:rsidR="00C3765C" w:rsidRPr="001D5DF0" w:rsidRDefault="00C3765C" w:rsidP="00C3765C">
      <w:pPr>
        <w:rPr>
          <w:i/>
          <w:szCs w:val="24"/>
          <w:lang w:val="fr-BE"/>
        </w:rPr>
      </w:pPr>
      <w:r w:rsidRPr="00453E76">
        <w:rPr>
          <w:i/>
          <w:szCs w:val="24"/>
          <w:lang w:val="fr-BE"/>
        </w:rPr>
        <w:t xml:space="preserve"> Pour ce qui concerne les motifs d’exclusion, le soumissionnaire ne doit donc joindre aucune déclaration à son offre (hors l’hypothèse de mesures correctrices), c’est le dépôt de cette offre qui, par lui-même, constitue une déclaration (implicite) sur l’honneur.</w:t>
      </w:r>
    </w:p>
    <w:p w:rsidR="00C3765C" w:rsidRDefault="00C3765C" w:rsidP="00C3765C">
      <w:pPr>
        <w:pStyle w:val="Corpsdetexte"/>
        <w:rPr>
          <w:bCs/>
          <w:i w:val="0"/>
          <w:strike/>
          <w:u w:val="single"/>
        </w:rPr>
      </w:pPr>
    </w:p>
    <w:p w:rsidR="00C3765C" w:rsidRPr="00453E76" w:rsidRDefault="00282CFE" w:rsidP="00F938BD">
      <w:pPr>
        <w:pStyle w:val="Titre4"/>
      </w:pPr>
      <w:r>
        <w:rPr>
          <w:u w:val="single"/>
        </w:rPr>
        <w:lastRenderedPageBreak/>
        <w:t>Cas de figure</w:t>
      </w:r>
      <w:r w:rsidR="00C3765C" w:rsidRPr="00453E76">
        <w:rPr>
          <w:u w:val="single"/>
        </w:rPr>
        <w:t xml:space="preserve"> 2</w:t>
      </w:r>
      <w:r w:rsidR="00C3765C">
        <w:t>:</w:t>
      </w:r>
      <w:r w:rsidR="00C3765C" w:rsidRPr="00453E76">
        <w:t xml:space="preserve"> Pour les marchés de montant estimé égal ou supérieur au seuil de la publicité européenne</w:t>
      </w:r>
      <w:r w:rsidR="00C3765C">
        <w:t>,  indiquer</w:t>
      </w:r>
      <w:r w:rsidR="00C3765C" w:rsidRPr="00453E76">
        <w:t>:</w:t>
      </w:r>
    </w:p>
    <w:p w:rsidR="00C3765C" w:rsidRDefault="00C3765C" w:rsidP="00C3765C">
      <w:pPr>
        <w:pStyle w:val="Corpsdetexte"/>
        <w:rPr>
          <w:b/>
          <w:bCs/>
          <w:i w:val="0"/>
          <w:u w:val="single"/>
        </w:rPr>
      </w:pPr>
    </w:p>
    <w:p w:rsidR="00C3765C" w:rsidRPr="006C10F4" w:rsidRDefault="00C3765C" w:rsidP="00F938BD">
      <w:pPr>
        <w:pStyle w:val="Titre5"/>
      </w:pPr>
      <w:r w:rsidRPr="006C10F4">
        <w:t>9.4.</w:t>
      </w:r>
      <w:r>
        <w:t>2.</w:t>
      </w:r>
      <w:r w:rsidRPr="006C10F4">
        <w:t xml:space="preserve"> Document Unique de Marché Européen </w:t>
      </w:r>
    </w:p>
    <w:p w:rsidR="00C3765C" w:rsidRPr="0018723E" w:rsidRDefault="00C3765C" w:rsidP="00C3765C">
      <w:pPr>
        <w:pStyle w:val="Corpsdetexte3"/>
        <w:pBdr>
          <w:top w:val="single" w:sz="12" w:space="1" w:color="auto"/>
          <w:left w:val="single" w:sz="12" w:space="4" w:color="auto"/>
          <w:bottom w:val="single" w:sz="12" w:space="1" w:color="auto"/>
          <w:right w:val="single" w:sz="12" w:space="4" w:color="auto"/>
        </w:pBdr>
        <w:tabs>
          <w:tab w:val="left" w:pos="851"/>
        </w:tabs>
        <w:spacing w:line="300" w:lineRule="atLeast"/>
        <w:rPr>
          <w:bCs/>
          <w:i/>
          <w:color w:val="FF0000"/>
          <w:sz w:val="22"/>
          <w:szCs w:val="22"/>
          <w:lang w:val="fr-BE"/>
        </w:rPr>
      </w:pPr>
      <w:r w:rsidRPr="0018723E">
        <w:rPr>
          <w:sz w:val="22"/>
          <w:szCs w:val="22"/>
          <w:lang w:val="fr-BE"/>
        </w:rPr>
        <w:t xml:space="preserve">Le soumissionnaire doit joindre à son dossier d’offre une </w:t>
      </w:r>
      <w:r w:rsidRPr="0018723E">
        <w:rPr>
          <w:b/>
          <w:sz w:val="22"/>
          <w:szCs w:val="22"/>
          <w:lang w:val="fr-BE"/>
        </w:rPr>
        <w:t>version papier du</w:t>
      </w:r>
      <w:r w:rsidRPr="0018723E">
        <w:rPr>
          <w:bCs/>
          <w:sz w:val="22"/>
          <w:szCs w:val="22"/>
          <w:lang w:val="fr-BE"/>
        </w:rPr>
        <w:t xml:space="preserve"> </w:t>
      </w:r>
      <w:r w:rsidRPr="0018723E">
        <w:rPr>
          <w:b/>
          <w:bCs/>
          <w:sz w:val="22"/>
          <w:szCs w:val="22"/>
          <w:lang w:val="fr-BE"/>
        </w:rPr>
        <w:t>DUME</w:t>
      </w:r>
      <w:r w:rsidRPr="0018723E">
        <w:rPr>
          <w:bCs/>
          <w:sz w:val="22"/>
          <w:szCs w:val="22"/>
          <w:lang w:val="fr-BE"/>
        </w:rPr>
        <w:t xml:space="preserve"> (document unique de marché européen) qu’il a rempli conformément aux instructions figurant dans l’avis de marché.  </w:t>
      </w:r>
    </w:p>
    <w:p w:rsidR="00C3765C" w:rsidRPr="00B96EDE" w:rsidRDefault="00C3765C" w:rsidP="00C3765C">
      <w:pPr>
        <w:pBdr>
          <w:top w:val="single" w:sz="12" w:space="1" w:color="auto"/>
          <w:left w:val="single" w:sz="12" w:space="4" w:color="auto"/>
          <w:bottom w:val="single" w:sz="12" w:space="1" w:color="auto"/>
          <w:right w:val="single" w:sz="12" w:space="4" w:color="auto"/>
        </w:pBdr>
        <w:rPr>
          <w:bCs/>
          <w:szCs w:val="24"/>
          <w:lang w:val="fr-BE"/>
        </w:rPr>
      </w:pPr>
      <w:r w:rsidRPr="00B96EDE">
        <w:rPr>
          <w:b/>
          <w:bCs/>
          <w:szCs w:val="24"/>
          <w:u w:val="single"/>
          <w:lang w:val="fr-BE"/>
        </w:rPr>
        <w:t>NB</w:t>
      </w:r>
      <w:r w:rsidRPr="00B96EDE">
        <w:rPr>
          <w:b/>
          <w:bCs/>
          <w:szCs w:val="24"/>
          <w:lang w:val="fr-BE"/>
        </w:rPr>
        <w:t> :</w:t>
      </w:r>
      <w:r w:rsidRPr="00B96EDE">
        <w:rPr>
          <w:bCs/>
          <w:szCs w:val="24"/>
          <w:lang w:val="fr-BE"/>
        </w:rPr>
        <w:t xml:space="preserve"> </w:t>
      </w:r>
      <w:r w:rsidRPr="00B96EDE">
        <w:rPr>
          <w:bCs/>
          <w:szCs w:val="24"/>
          <w:lang w:val="fr-BE"/>
        </w:rPr>
        <w:tab/>
        <w:t>1. Le</w:t>
      </w:r>
      <w:r>
        <w:rPr>
          <w:bCs/>
          <w:szCs w:val="24"/>
          <w:lang w:val="fr-BE"/>
        </w:rPr>
        <w:t xml:space="preserve"> formulaire du</w:t>
      </w:r>
      <w:r w:rsidRPr="00B96EDE">
        <w:rPr>
          <w:bCs/>
          <w:szCs w:val="24"/>
          <w:lang w:val="fr-BE"/>
        </w:rPr>
        <w:t xml:space="preserve"> DUME est uniquement accessible en version électronique sur le site </w:t>
      </w:r>
      <w:r w:rsidRPr="00B96EDE">
        <w:rPr>
          <w:bCs/>
          <w:szCs w:val="24"/>
          <w:lang w:val="fr-BE"/>
        </w:rPr>
        <w:tab/>
      </w:r>
      <w:hyperlink r:id="rId9" w:history="1">
        <w:r w:rsidRPr="00B96EDE">
          <w:rPr>
            <w:rStyle w:val="Lienhypertexte"/>
            <w:bCs/>
            <w:szCs w:val="24"/>
            <w:lang w:val="fr-BE"/>
          </w:rPr>
          <w:t>https://ec.europa.eu/tools/espd?lang=fr</w:t>
        </w:r>
      </w:hyperlink>
    </w:p>
    <w:p w:rsidR="00C3765C" w:rsidRPr="00B96EDE" w:rsidRDefault="00C3765C" w:rsidP="00C3765C">
      <w:pPr>
        <w:pBdr>
          <w:top w:val="single" w:sz="12" w:space="1" w:color="auto"/>
          <w:left w:val="single" w:sz="12" w:space="4" w:color="auto"/>
          <w:bottom w:val="single" w:sz="12" w:space="1" w:color="auto"/>
          <w:right w:val="single" w:sz="12" w:space="4" w:color="auto"/>
        </w:pBdr>
        <w:autoSpaceDE w:val="0"/>
        <w:autoSpaceDN w:val="0"/>
        <w:adjustRightInd w:val="0"/>
        <w:rPr>
          <w:rFonts w:eastAsiaTheme="minorHAnsi"/>
          <w:b/>
          <w:szCs w:val="24"/>
          <w:lang w:val="fr-BE" w:eastAsia="en-US"/>
        </w:rPr>
      </w:pPr>
      <w:r w:rsidRPr="00B96EDE">
        <w:rPr>
          <w:rFonts w:eastAsiaTheme="minorHAnsi"/>
          <w:szCs w:val="24"/>
          <w:lang w:val="fr-BE" w:eastAsia="en-US"/>
        </w:rPr>
        <w:tab/>
        <w:t xml:space="preserve">2. Si le soumissionnaire est un </w:t>
      </w:r>
      <w:r w:rsidRPr="00B96EDE">
        <w:rPr>
          <w:rFonts w:eastAsiaTheme="minorHAnsi"/>
          <w:b/>
          <w:szCs w:val="24"/>
          <w:lang w:val="fr-BE" w:eastAsia="en-US"/>
        </w:rPr>
        <w:t>groupement d’opérateurs</w:t>
      </w:r>
      <w:r w:rsidRPr="00B96EDE">
        <w:rPr>
          <w:rFonts w:eastAsiaTheme="minorHAnsi"/>
          <w:szCs w:val="24"/>
          <w:lang w:val="fr-BE" w:eastAsia="en-US"/>
        </w:rPr>
        <w:t xml:space="preserve"> sans personnalité </w:t>
      </w:r>
      <w:r w:rsidRPr="00B96EDE">
        <w:rPr>
          <w:rFonts w:eastAsiaTheme="minorHAnsi"/>
          <w:szCs w:val="24"/>
          <w:lang w:val="fr-BE" w:eastAsia="en-US"/>
        </w:rPr>
        <w:tab/>
        <w:t>juridique, chaque membre du groupement doit remplir</w:t>
      </w:r>
      <w:r w:rsidRPr="00B96EDE">
        <w:rPr>
          <w:rFonts w:eastAsiaTheme="minorHAnsi"/>
          <w:b/>
          <w:szCs w:val="24"/>
          <w:lang w:val="fr-BE" w:eastAsia="en-US"/>
        </w:rPr>
        <w:t xml:space="preserve"> un DUME distinct</w:t>
      </w:r>
    </w:p>
    <w:p w:rsidR="0018723E" w:rsidRPr="00F938BD" w:rsidRDefault="00C3765C" w:rsidP="00F938BD">
      <w:pPr>
        <w:pStyle w:val="Corpsdetexte3"/>
        <w:tabs>
          <w:tab w:val="left" w:pos="851"/>
        </w:tabs>
        <w:spacing w:line="300" w:lineRule="atLeast"/>
        <w:rPr>
          <w:rFonts w:ascii="Times New Roman" w:hAnsi="Times New Roman"/>
          <w:b/>
          <w:bCs/>
          <w:i/>
          <w:sz w:val="24"/>
          <w:szCs w:val="24"/>
          <w:u w:val="single"/>
        </w:rPr>
      </w:pPr>
      <w:r w:rsidRPr="0018723E">
        <w:rPr>
          <w:rFonts w:ascii="Times New Roman" w:hAnsi="Times New Roman"/>
          <w:bCs/>
          <w:i/>
          <w:sz w:val="24"/>
          <w:szCs w:val="24"/>
        </w:rPr>
        <w:t xml:space="preserve">Si le pouvoir adjudicateur n’exige que l’agréation comme critère de sélection, </w:t>
      </w:r>
      <w:proofErr w:type="gramStart"/>
      <w:r w:rsidRPr="0018723E">
        <w:rPr>
          <w:rFonts w:ascii="Times New Roman" w:hAnsi="Times New Roman"/>
          <w:bCs/>
          <w:i/>
          <w:sz w:val="24"/>
          <w:szCs w:val="24"/>
        </w:rPr>
        <w:t>mentionner</w:t>
      </w:r>
      <w:proofErr w:type="gramEnd"/>
      <w:r w:rsidRPr="0018723E">
        <w:rPr>
          <w:rFonts w:ascii="Times New Roman" w:hAnsi="Times New Roman"/>
          <w:bCs/>
          <w:i/>
          <w:sz w:val="24"/>
          <w:szCs w:val="24"/>
        </w:rPr>
        <w:t xml:space="preserve"> que le soumissionnaire ne doit pas remplir les parties III à V du DUME. </w:t>
      </w:r>
    </w:p>
    <w:p w:rsidR="00C3765C" w:rsidRPr="00004A97" w:rsidRDefault="00C3765C" w:rsidP="00F938BD">
      <w:pPr>
        <w:pStyle w:val="Titre3"/>
        <w:rPr>
          <w:lang w:val="fr-BE"/>
        </w:rPr>
      </w:pPr>
      <w:bookmarkStart w:id="14" w:name="_Toc503796616"/>
      <w:r w:rsidRPr="00004A97">
        <w:rPr>
          <w:lang w:val="fr-BE"/>
        </w:rPr>
        <w:t>9.5. Vérification des motifs d’exclusion</w:t>
      </w:r>
      <w:bookmarkEnd w:id="14"/>
    </w:p>
    <w:p w:rsidR="00C3765C" w:rsidRPr="00D85624" w:rsidRDefault="00C3765C" w:rsidP="00C3765C">
      <w:pPr>
        <w:rPr>
          <w:bCs/>
          <w:szCs w:val="24"/>
          <w:lang w:val="fr-BE"/>
        </w:rPr>
      </w:pPr>
      <w:r w:rsidRPr="00D85624">
        <w:rPr>
          <w:bCs/>
          <w:szCs w:val="24"/>
          <w:lang w:val="fr-BE"/>
        </w:rPr>
        <w:t>Avant l’attribution du marché, le pouvoir adjudicateur vérifie l’absence de motif d’exclusion obligatoire ou facultatif dans le chef du soumissionnaire auquel il a l’intention d’attribuer le marché:</w:t>
      </w:r>
    </w:p>
    <w:p w:rsidR="00C3765C" w:rsidRPr="00D85624" w:rsidRDefault="00C3765C" w:rsidP="00C3765C">
      <w:pPr>
        <w:rPr>
          <w:bCs/>
        </w:rPr>
      </w:pPr>
      <w:r w:rsidRPr="00D85624">
        <w:rPr>
          <w:bCs/>
        </w:rPr>
        <w:t xml:space="preserve">- en consultant les bases de données nationales accessibles gratuitement </w:t>
      </w:r>
    </w:p>
    <w:p w:rsidR="00C3765C" w:rsidRPr="00D85624" w:rsidRDefault="00C3765C" w:rsidP="00C3765C">
      <w:pPr>
        <w:rPr>
          <w:b/>
          <w:bCs/>
          <w:szCs w:val="24"/>
          <w:lang w:val="fr-BE"/>
        </w:rPr>
      </w:pPr>
      <w:proofErr w:type="gramStart"/>
      <w:r w:rsidRPr="00D85624">
        <w:rPr>
          <w:b/>
          <w:bCs/>
          <w:szCs w:val="24"/>
          <w:lang w:val="fr-BE"/>
        </w:rPr>
        <w:t>et</w:t>
      </w:r>
      <w:proofErr w:type="gramEnd"/>
    </w:p>
    <w:p w:rsidR="00C3765C" w:rsidRPr="00D85624" w:rsidRDefault="00C3765C" w:rsidP="00C3765C">
      <w:pPr>
        <w:rPr>
          <w:bCs/>
        </w:rPr>
      </w:pPr>
      <w:r w:rsidRPr="00D85624">
        <w:rPr>
          <w:bCs/>
        </w:rPr>
        <w:t xml:space="preserve">- si nécessaire, en demandant à ce soumissionnaire de fournir les documents probants visés à </w:t>
      </w:r>
      <w:r w:rsidRPr="00D85624">
        <w:rPr>
          <w:bCs/>
          <w:u w:val="single"/>
        </w:rPr>
        <w:t>l’article 72</w:t>
      </w:r>
      <w:r w:rsidRPr="00D85624">
        <w:rPr>
          <w:bCs/>
        </w:rPr>
        <w:t xml:space="preserve"> de l’ARP.</w:t>
      </w:r>
    </w:p>
    <w:p w:rsidR="00C3765C" w:rsidRPr="00A91145" w:rsidRDefault="00C3765C" w:rsidP="00C3765C">
      <w:pPr>
        <w:rPr>
          <w:szCs w:val="24"/>
        </w:rPr>
      </w:pPr>
      <w:r w:rsidRPr="00D85624">
        <w:rPr>
          <w:szCs w:val="24"/>
          <w:lang w:val="fr-BE"/>
        </w:rPr>
        <w:t xml:space="preserve">L’attention est toutefois attirée sur le fait que, conformément à l’article 73 §3 de la loi du 17 juin 2016, le </w:t>
      </w:r>
      <w:r w:rsidRPr="00D85624">
        <w:rPr>
          <w:szCs w:val="24"/>
        </w:rPr>
        <w:t>pouvoir adjudicateur peut, à tout moment de la procédure de passation, si cela est nécessaire à son bon déroulement, demander à tout soumissionnaire de fournir un ou plusieurs documents justificatifs relatifs aux différents motifs d’exclusion.</w:t>
      </w:r>
    </w:p>
    <w:p w:rsidR="00C3765C" w:rsidRPr="004F572E" w:rsidRDefault="00C3765C" w:rsidP="00F938BD">
      <w:pPr>
        <w:pStyle w:val="Titre2"/>
      </w:pPr>
      <w:bookmarkStart w:id="15" w:name="_Toc503796617"/>
      <w:r>
        <w:t>10. Critères d'attribution</w:t>
      </w:r>
      <w:r w:rsidRPr="004F572E">
        <w:t xml:space="preserve"> </w:t>
      </w:r>
      <w:r w:rsidRPr="00A80568">
        <w:t>(article 81 de la loi)</w:t>
      </w:r>
      <w:bookmarkEnd w:id="15"/>
    </w:p>
    <w:p w:rsidR="00C3765C" w:rsidRDefault="00C3765C" w:rsidP="00C3765C">
      <w:pPr>
        <w:pBdr>
          <w:top w:val="single" w:sz="12" w:space="1" w:color="auto"/>
          <w:left w:val="single" w:sz="12" w:space="4" w:color="auto"/>
          <w:bottom w:val="single" w:sz="12" w:space="1" w:color="auto"/>
          <w:right w:val="single" w:sz="12" w:space="4" w:color="auto"/>
        </w:pBdr>
      </w:pPr>
      <w:r>
        <w:t>Le marché est attribué au soumissionnaire qui a remis l’offre régulière économiquement la plus avantageuse du point de vue du pouvoir adjudicateur sur base du critère prix /</w:t>
      </w:r>
      <w:r w:rsidR="00282CFE">
        <w:t>du coût/</w:t>
      </w:r>
      <w:r>
        <w:t xml:space="preserve"> des critères d’attribution.</w:t>
      </w:r>
    </w:p>
    <w:p w:rsidR="00C3765C" w:rsidRDefault="00C3765C" w:rsidP="00A91145">
      <w:pPr>
        <w:pBdr>
          <w:top w:val="single" w:sz="12" w:space="1" w:color="auto"/>
          <w:left w:val="single" w:sz="12" w:space="4" w:color="auto"/>
          <w:bottom w:val="single" w:sz="12" w:space="1" w:color="auto"/>
          <w:right w:val="single" w:sz="12" w:space="4" w:color="auto"/>
        </w:pBdr>
      </w:pPr>
      <w:r w:rsidRPr="004D33A3">
        <w:t>Sauf si le seul critère d’attribution est le prix</w:t>
      </w:r>
      <w:r>
        <w:t xml:space="preserve"> ou le coût, </w:t>
      </w:r>
      <w:r w:rsidRPr="00DE64AB">
        <w:t>préciser</w:t>
      </w:r>
      <w:r>
        <w:t xml:space="preserve"> </w:t>
      </w:r>
      <w:r w:rsidRPr="004D33A3">
        <w:t>ici les critères</w:t>
      </w:r>
      <w:r>
        <w:t xml:space="preserve"> et sous-critères</w:t>
      </w:r>
      <w:r w:rsidRPr="004D33A3">
        <w:t xml:space="preserve"> d’attribution et leur pondération.</w:t>
      </w:r>
      <w:r>
        <w:t xml:space="preserve"> </w:t>
      </w:r>
    </w:p>
    <w:p w:rsidR="00C3765C" w:rsidRDefault="00C3765C" w:rsidP="00F938BD">
      <w:pPr>
        <w:pStyle w:val="Titre2"/>
      </w:pPr>
      <w:bookmarkStart w:id="16" w:name="_Toc503796618"/>
      <w:r>
        <w:t>11. Mode de détermination des prix (</w:t>
      </w:r>
      <w:r w:rsidRPr="0074724C">
        <w:t>article 2, 3° à 6° et 26 de l’AR</w:t>
      </w:r>
      <w:r>
        <w:t>P</w:t>
      </w:r>
      <w:r w:rsidRPr="0074724C">
        <w:t>)</w:t>
      </w:r>
      <w:bookmarkEnd w:id="16"/>
    </w:p>
    <w:p w:rsidR="00C3765C" w:rsidRDefault="00C3765C" w:rsidP="00C3765C">
      <w:pPr>
        <w:pBdr>
          <w:top w:val="single" w:sz="12" w:space="1" w:color="auto"/>
          <w:left w:val="single" w:sz="12" w:space="4" w:color="auto"/>
          <w:bottom w:val="single" w:sz="12" w:space="1" w:color="auto"/>
          <w:right w:val="single" w:sz="12" w:space="4" w:color="auto"/>
        </w:pBdr>
      </w:pPr>
      <w:r>
        <w:t xml:space="preserve">Indiquer le type de marché: le marché est </w:t>
      </w:r>
      <w:r w:rsidRPr="0074724C">
        <w:t>à prix global, à bordereau de prix, à remboursement ou mixte</w:t>
      </w:r>
      <w:r>
        <w:t>.</w:t>
      </w:r>
    </w:p>
    <w:p w:rsidR="00C3765C" w:rsidRDefault="00C3765C" w:rsidP="00F938BD">
      <w:pPr>
        <w:pStyle w:val="Titre2"/>
      </w:pPr>
      <w:bookmarkStart w:id="17" w:name="_Toc503796619"/>
      <w:r>
        <w:lastRenderedPageBreak/>
        <w:t xml:space="preserve">12. </w:t>
      </w:r>
      <w:r w:rsidRPr="00365291">
        <w:t>Forme et contenu</w:t>
      </w:r>
      <w:r>
        <w:t xml:space="preserve"> de l'offre</w:t>
      </w:r>
      <w:bookmarkEnd w:id="17"/>
    </w:p>
    <w:p w:rsidR="00C3765C" w:rsidRPr="005F42EF" w:rsidRDefault="00C3765C" w:rsidP="00F938BD">
      <w:pPr>
        <w:pStyle w:val="Titre3"/>
      </w:pPr>
      <w:bookmarkStart w:id="18" w:name="_Toc503796620"/>
      <w:r w:rsidRPr="005F42EF">
        <w:t>12.1. Forme de l’offre</w:t>
      </w:r>
      <w:bookmarkEnd w:id="18"/>
    </w:p>
    <w:p w:rsidR="00C3765C" w:rsidRDefault="00C3765C" w:rsidP="00C3765C">
      <w:pPr>
        <w:rPr>
          <w:color w:val="000000" w:themeColor="text1"/>
        </w:rPr>
      </w:pPr>
      <w:r w:rsidRPr="005F42EF">
        <w:rPr>
          <w:color w:val="000000" w:themeColor="text1"/>
        </w:rPr>
        <w:t xml:space="preserve">Le soumissionnaire doit établir son offre </w:t>
      </w:r>
      <w:r w:rsidRPr="005F42EF">
        <w:rPr>
          <w:b/>
          <w:color w:val="000000" w:themeColor="text1"/>
        </w:rPr>
        <w:t>en français</w:t>
      </w:r>
      <w:r w:rsidRPr="005F42EF">
        <w:rPr>
          <w:color w:val="000000" w:themeColor="text1"/>
        </w:rPr>
        <w:t xml:space="preserve"> en se conformant aux formulaires destinés à cet effet, intitulés </w:t>
      </w:r>
      <w:r>
        <w:rPr>
          <w:color w:val="000000" w:themeColor="text1"/>
        </w:rPr>
        <w:t>"OFFRE"</w:t>
      </w:r>
      <w:r w:rsidRPr="005F42EF">
        <w:rPr>
          <w:color w:val="000000" w:themeColor="text1"/>
        </w:rPr>
        <w:t xml:space="preserve"> et </w:t>
      </w:r>
      <w:r>
        <w:rPr>
          <w:color w:val="000000" w:themeColor="text1"/>
        </w:rPr>
        <w:t>"</w:t>
      </w:r>
      <w:r w:rsidRPr="005F42EF">
        <w:rPr>
          <w:color w:val="000000" w:themeColor="text1"/>
        </w:rPr>
        <w:t>METRE RECAPITULA</w:t>
      </w:r>
      <w:r>
        <w:rPr>
          <w:color w:val="000000" w:themeColor="text1"/>
        </w:rPr>
        <w:t>T</w:t>
      </w:r>
      <w:r w:rsidRPr="005F42EF">
        <w:rPr>
          <w:color w:val="000000" w:themeColor="text1"/>
        </w:rPr>
        <w:t>IF</w:t>
      </w:r>
      <w:r>
        <w:rPr>
          <w:color w:val="000000" w:themeColor="text1"/>
        </w:rPr>
        <w:t>"</w:t>
      </w:r>
      <w:r w:rsidRPr="005F42EF">
        <w:rPr>
          <w:color w:val="000000" w:themeColor="text1"/>
        </w:rPr>
        <w:t>, et joints au présent cahier spécial des charges. À défaut d’utiliser ces formulaires, le soumissionnaire supporte l’entière responsabilité de la parfaite concordance entre les documents utilisés et lesdits formulaires.</w:t>
      </w:r>
    </w:p>
    <w:p w:rsidR="00C3765C" w:rsidRDefault="00C3765C" w:rsidP="00C3765C">
      <w:pPr>
        <w:rPr>
          <w:color w:val="000000" w:themeColor="text1"/>
        </w:rPr>
      </w:pPr>
      <w:r w:rsidRPr="005F42EF">
        <w:rPr>
          <w:color w:val="000000" w:themeColor="text1"/>
        </w:rPr>
        <w:t>Le soumissionnaire fait parvenir au pouvoir adjudicateur une offre conforme aux prescrits de l’article 78 de l’</w:t>
      </w:r>
      <w:r>
        <w:rPr>
          <w:color w:val="000000" w:themeColor="text1"/>
        </w:rPr>
        <w:t>ARP</w:t>
      </w:r>
      <w:r w:rsidRPr="005F42EF">
        <w:rPr>
          <w:color w:val="000000" w:themeColor="text1"/>
        </w:rPr>
        <w:t>.</w:t>
      </w:r>
    </w:p>
    <w:p w:rsidR="00C3765C" w:rsidRDefault="00C3765C" w:rsidP="00C3765C">
      <w:pPr>
        <w:rPr>
          <w:color w:val="000000"/>
          <w:szCs w:val="24"/>
        </w:rPr>
      </w:pPr>
      <w:r w:rsidRPr="00767EE2">
        <w:rPr>
          <w:color w:val="000000"/>
          <w:szCs w:val="24"/>
        </w:rPr>
        <w:t xml:space="preserve">Tous les documents doivent être revêtus de la mention </w:t>
      </w:r>
      <w:r>
        <w:rPr>
          <w:color w:val="000000"/>
          <w:szCs w:val="24"/>
        </w:rPr>
        <w:t>"</w:t>
      </w:r>
      <w:r w:rsidRPr="00767EE2">
        <w:rPr>
          <w:color w:val="000000"/>
          <w:szCs w:val="24"/>
        </w:rPr>
        <w:t>pour être joi</w:t>
      </w:r>
      <w:r>
        <w:rPr>
          <w:color w:val="000000"/>
          <w:szCs w:val="24"/>
        </w:rPr>
        <w:t>nts à la soumission de ce jour"</w:t>
      </w:r>
      <w:r w:rsidRPr="00767EE2">
        <w:rPr>
          <w:color w:val="000000"/>
          <w:szCs w:val="24"/>
        </w:rPr>
        <w:t>, datés et signés.</w:t>
      </w:r>
    </w:p>
    <w:p w:rsidR="00C3765C" w:rsidRDefault="00C3765C" w:rsidP="00C3765C">
      <w:pPr>
        <w:rPr>
          <w:color w:val="000000"/>
          <w:szCs w:val="24"/>
        </w:rPr>
      </w:pPr>
      <w:r>
        <w:rPr>
          <w:color w:val="000000"/>
          <w:szCs w:val="24"/>
        </w:rPr>
        <w:t>Tous l</w:t>
      </w:r>
      <w:r w:rsidRPr="00767EE2">
        <w:rPr>
          <w:color w:val="000000"/>
          <w:szCs w:val="24"/>
        </w:rPr>
        <w:t>es documents doivent être rédigés en français</w:t>
      </w:r>
      <w:r>
        <w:rPr>
          <w:color w:val="000000"/>
          <w:szCs w:val="24"/>
        </w:rPr>
        <w:t xml:space="preserve"> (</w:t>
      </w:r>
      <w:r w:rsidRPr="00767EE2">
        <w:rPr>
          <w:color w:val="000000"/>
          <w:szCs w:val="24"/>
        </w:rPr>
        <w:t>ou être accompagn</w:t>
      </w:r>
      <w:r>
        <w:rPr>
          <w:color w:val="000000"/>
          <w:szCs w:val="24"/>
        </w:rPr>
        <w:t xml:space="preserve">és d’une traduction en français) </w:t>
      </w:r>
      <w:r w:rsidRPr="00767EE2">
        <w:rPr>
          <w:color w:val="000000"/>
          <w:szCs w:val="24"/>
        </w:rPr>
        <w:t>s’ils sont établis spécialement par le soumissionnaire en vue de sa remise d’offre dans le cadre du présent marché.</w:t>
      </w:r>
    </w:p>
    <w:p w:rsidR="00C3765C" w:rsidRPr="00F938BD" w:rsidRDefault="00C3765C" w:rsidP="00C3765C">
      <w:pPr>
        <w:rPr>
          <w:color w:val="000000"/>
          <w:szCs w:val="24"/>
        </w:rPr>
      </w:pPr>
      <w:r w:rsidRPr="00767EE2">
        <w:rPr>
          <w:color w:val="000000"/>
          <w:szCs w:val="24"/>
        </w:rPr>
        <w:t xml:space="preserve"> </w:t>
      </w:r>
      <w:r>
        <w:rPr>
          <w:color w:val="000000"/>
          <w:szCs w:val="24"/>
        </w:rPr>
        <w:t xml:space="preserve">En ce qui concerne les </w:t>
      </w:r>
      <w:r w:rsidRPr="00767EE2">
        <w:rPr>
          <w:color w:val="000000"/>
          <w:szCs w:val="24"/>
        </w:rPr>
        <w:t>documents</w:t>
      </w:r>
      <w:r>
        <w:rPr>
          <w:color w:val="000000"/>
          <w:szCs w:val="24"/>
        </w:rPr>
        <w:t xml:space="preserve"> dont la production est exigée</w:t>
      </w:r>
      <w:r w:rsidRPr="00767EE2">
        <w:rPr>
          <w:color w:val="000000"/>
          <w:szCs w:val="24"/>
        </w:rPr>
        <w:t>, le pouvoir adjudicateur se réserve le droit de déclarer irrégulière l’offre</w:t>
      </w:r>
      <w:r>
        <w:rPr>
          <w:color w:val="000000"/>
          <w:szCs w:val="24"/>
        </w:rPr>
        <w:t xml:space="preserve"> qui ne comporterait pas tout ou partie de ces documents</w:t>
      </w:r>
      <w:r w:rsidRPr="00767EE2">
        <w:rPr>
          <w:color w:val="000000"/>
          <w:szCs w:val="24"/>
        </w:rPr>
        <w:t>.</w:t>
      </w:r>
    </w:p>
    <w:p w:rsidR="00C3765C" w:rsidRPr="00735AC3" w:rsidRDefault="00C3765C" w:rsidP="00F938BD">
      <w:pPr>
        <w:pStyle w:val="Titre3"/>
      </w:pPr>
      <w:bookmarkStart w:id="19" w:name="_Toc503796621"/>
      <w:r>
        <w:t>12.2</w:t>
      </w:r>
      <w:r w:rsidRPr="00735AC3">
        <w:t>. Signature de l’offre</w:t>
      </w:r>
      <w:bookmarkEnd w:id="19"/>
    </w:p>
    <w:p w:rsidR="00C3765C" w:rsidRDefault="00C3765C" w:rsidP="00C3765C">
      <w:pPr>
        <w:rPr>
          <w:color w:val="000000"/>
          <w:szCs w:val="24"/>
        </w:rPr>
      </w:pPr>
      <w:r>
        <w:rPr>
          <w:color w:val="000000"/>
          <w:szCs w:val="24"/>
        </w:rPr>
        <w:t xml:space="preserve">Le soumissionnaire signe l’offre ainsi que </w:t>
      </w:r>
      <w:r w:rsidRPr="00365291">
        <w:rPr>
          <w:color w:val="000000"/>
          <w:szCs w:val="24"/>
        </w:rPr>
        <w:t>le métré</w:t>
      </w:r>
      <w:r>
        <w:rPr>
          <w:color w:val="000000"/>
          <w:szCs w:val="24"/>
        </w:rPr>
        <w:t xml:space="preserve"> récapitulatif et les autres annexes jointes à l’offre.</w:t>
      </w:r>
    </w:p>
    <w:p w:rsidR="00C3765C" w:rsidRDefault="00C3765C" w:rsidP="00C3765C">
      <w:pPr>
        <w:rPr>
          <w:color w:val="000000"/>
          <w:szCs w:val="24"/>
        </w:rPr>
      </w:pPr>
      <w:r>
        <w:rPr>
          <w:color w:val="000000"/>
          <w:szCs w:val="24"/>
        </w:rPr>
        <w:t>Les éventuels suppléments de prix, rabais ou améliorations proposés et toutes ratures, surcharges, mentions complémentaires ou modificatives de l’offre et de ses annexes qui seraient de nature à influencer les conditions essentielles du marché, concernant notamment les prix, les délais et les conditions techniques, sont également signés par le soumissionnaire.</w:t>
      </w:r>
    </w:p>
    <w:p w:rsidR="00C3765C" w:rsidRDefault="00C3765C" w:rsidP="00C3765C">
      <w:pPr>
        <w:rPr>
          <w:color w:val="000000"/>
          <w:szCs w:val="24"/>
        </w:rPr>
      </w:pPr>
      <w:r>
        <w:rPr>
          <w:color w:val="000000"/>
          <w:szCs w:val="24"/>
        </w:rPr>
        <w:t>Lorsque l’offre est remise par un groupement sans personnalité juridique, chacun de ses participants se conforme aux dispositions précitées.</w:t>
      </w:r>
    </w:p>
    <w:p w:rsidR="00C3765C" w:rsidRPr="00F938BD" w:rsidRDefault="00C3765C" w:rsidP="00F938BD">
      <w:pPr>
        <w:rPr>
          <w:color w:val="000000"/>
          <w:szCs w:val="24"/>
        </w:rPr>
      </w:pPr>
      <w:r>
        <w:rPr>
          <w:color w:val="000000"/>
          <w:szCs w:val="24"/>
        </w:rPr>
        <w:t>Lorsque l’offre est signée par un mandataire, celui-ci mentionne clairement son (ses) mandant(s). Le mandataire joint à l’offre copie de l’acte authentique ou sous seing privé qui lui accorde ses pouvoirs (procuration). Il fait éventuellement référence au numéro de l’annexe du Moniteur belge qui a publié l’extrait de l’acte concerné.</w:t>
      </w:r>
    </w:p>
    <w:p w:rsidR="00C3765C" w:rsidRDefault="00C3765C" w:rsidP="00F938BD">
      <w:pPr>
        <w:pStyle w:val="Titre3"/>
      </w:pPr>
      <w:bookmarkStart w:id="20" w:name="_Toc503796622"/>
      <w:r w:rsidRPr="00656155">
        <w:t>12.3. Documents</w:t>
      </w:r>
      <w:r>
        <w:t>, modèles et échantillons à joindre à l'offre</w:t>
      </w:r>
      <w:bookmarkEnd w:id="20"/>
    </w:p>
    <w:p w:rsidR="00C3765C" w:rsidRDefault="00C3765C" w:rsidP="00C3765C">
      <w:pPr>
        <w:pBdr>
          <w:top w:val="single" w:sz="12" w:space="1" w:color="auto"/>
          <w:left w:val="single" w:sz="12" w:space="4" w:color="auto"/>
          <w:bottom w:val="single" w:sz="12" w:space="1" w:color="auto"/>
          <w:right w:val="single" w:sz="12" w:space="4" w:color="auto"/>
        </w:pBdr>
      </w:pPr>
      <w:r>
        <w:t>Le cas échéant, indiquer ici les documents, modèles, échantillons, maquettes et modèles réduits à joindre à l’offre.</w:t>
      </w:r>
    </w:p>
    <w:p w:rsidR="00C3765C" w:rsidRPr="003629F0" w:rsidRDefault="00C3765C" w:rsidP="00C3765C">
      <w:pPr>
        <w:pBdr>
          <w:top w:val="single" w:sz="12" w:space="1" w:color="auto"/>
          <w:left w:val="single" w:sz="12" w:space="4" w:color="auto"/>
          <w:bottom w:val="single" w:sz="12" w:space="1" w:color="auto"/>
          <w:right w:val="single" w:sz="12" w:space="4" w:color="auto"/>
        </w:pBdr>
      </w:pPr>
      <w:r>
        <w:t xml:space="preserve">- </w:t>
      </w:r>
      <w:r w:rsidRPr="003629F0">
        <w:t>Le formulaire d’offre</w:t>
      </w:r>
      <w:r>
        <w:t>;</w:t>
      </w:r>
    </w:p>
    <w:p w:rsidR="00C3765C" w:rsidRPr="003629F0" w:rsidRDefault="00C3765C" w:rsidP="00C3765C">
      <w:pPr>
        <w:pBdr>
          <w:top w:val="single" w:sz="12" w:space="1" w:color="auto"/>
          <w:left w:val="single" w:sz="12" w:space="4" w:color="auto"/>
          <w:bottom w:val="single" w:sz="12" w:space="1" w:color="auto"/>
          <w:right w:val="single" w:sz="12" w:space="4" w:color="auto"/>
        </w:pBdr>
      </w:pPr>
      <w:r>
        <w:t xml:space="preserve">- </w:t>
      </w:r>
      <w:r w:rsidRPr="003629F0">
        <w:t xml:space="preserve">Le </w:t>
      </w:r>
      <w:r>
        <w:t>métré</w:t>
      </w:r>
      <w:r w:rsidRPr="003629F0">
        <w:t xml:space="preserve"> récapitulatif</w:t>
      </w:r>
      <w:r>
        <w:t>;</w:t>
      </w:r>
    </w:p>
    <w:p w:rsidR="00C3765C" w:rsidRPr="003629F0" w:rsidRDefault="00C3765C" w:rsidP="00C3765C">
      <w:pPr>
        <w:pBdr>
          <w:top w:val="single" w:sz="12" w:space="1" w:color="auto"/>
          <w:left w:val="single" w:sz="12" w:space="4" w:color="auto"/>
          <w:bottom w:val="single" w:sz="12" w:space="1" w:color="auto"/>
          <w:right w:val="single" w:sz="12" w:space="4" w:color="auto"/>
        </w:pBdr>
      </w:pPr>
      <w:r>
        <w:t xml:space="preserve">- </w:t>
      </w:r>
      <w:r w:rsidRPr="003629F0">
        <w:t>Les extraits du Moniteur ou des statuts prouvant la qualité du signataire de la soumission</w:t>
      </w:r>
      <w:r>
        <w:t>;</w:t>
      </w:r>
    </w:p>
    <w:p w:rsidR="00C3765C" w:rsidRPr="003629F0" w:rsidRDefault="00C3765C" w:rsidP="00282CFE">
      <w:pPr>
        <w:pBdr>
          <w:top w:val="single" w:sz="12" w:space="1" w:color="auto"/>
          <w:left w:val="single" w:sz="12" w:space="4" w:color="auto"/>
          <w:bottom w:val="single" w:sz="12" w:space="1" w:color="auto"/>
          <w:right w:val="single" w:sz="12" w:space="4" w:color="auto"/>
        </w:pBdr>
      </w:pPr>
      <w:r>
        <w:t xml:space="preserve">- </w:t>
      </w:r>
      <w:r w:rsidRPr="003629F0">
        <w:t xml:space="preserve">En cas de signature par un mandataire, </w:t>
      </w:r>
      <w:r>
        <w:t xml:space="preserve">copie de </w:t>
      </w:r>
      <w:r w:rsidRPr="003629F0">
        <w:t>l’acte authentique ou sous seing privé (procuration) qui lui accorde ses pouvoirs</w:t>
      </w:r>
      <w:r>
        <w:t>;</w:t>
      </w:r>
      <w:r>
        <w:tab/>
      </w:r>
    </w:p>
    <w:p w:rsidR="00C3765C" w:rsidRPr="003629F0" w:rsidRDefault="00C3765C" w:rsidP="00C3765C">
      <w:pPr>
        <w:pBdr>
          <w:top w:val="single" w:sz="12" w:space="1" w:color="auto"/>
          <w:left w:val="single" w:sz="12" w:space="4" w:color="auto"/>
          <w:bottom w:val="single" w:sz="12" w:space="1" w:color="auto"/>
          <w:right w:val="single" w:sz="12" w:space="4" w:color="auto"/>
        </w:pBdr>
      </w:pPr>
      <w:r>
        <w:t xml:space="preserve">- </w:t>
      </w:r>
      <w:r w:rsidRPr="003629F0">
        <w:t>Le DUME </w:t>
      </w:r>
      <w:r w:rsidRPr="003629F0">
        <w:rPr>
          <w:i/>
        </w:rPr>
        <w:t>(en cas de marché dont la valeur estimée est égale ou supérieure au seuil fixé pour la publicité européenne)</w:t>
      </w:r>
      <w:r>
        <w:rPr>
          <w:i/>
        </w:rPr>
        <w:t>;</w:t>
      </w:r>
    </w:p>
    <w:p w:rsidR="00C3765C" w:rsidRPr="003629F0" w:rsidRDefault="00C3765C" w:rsidP="00C3765C">
      <w:pPr>
        <w:pBdr>
          <w:top w:val="single" w:sz="12" w:space="1" w:color="auto"/>
          <w:left w:val="single" w:sz="12" w:space="4" w:color="auto"/>
          <w:bottom w:val="single" w:sz="12" w:space="1" w:color="auto"/>
          <w:right w:val="single" w:sz="12" w:space="4" w:color="auto"/>
        </w:pBdr>
      </w:pPr>
      <w:r>
        <w:lastRenderedPageBreak/>
        <w:t xml:space="preserve">- </w:t>
      </w:r>
      <w:r w:rsidRPr="003629F0">
        <w:t>Les documents requis dans le cadre de la sélection qualitative (à lister)</w:t>
      </w:r>
      <w:r>
        <w:t>;</w:t>
      </w:r>
      <w:r w:rsidRPr="003629F0">
        <w:t xml:space="preserve"> </w:t>
      </w:r>
    </w:p>
    <w:p w:rsidR="00C3765C" w:rsidRPr="003629F0" w:rsidRDefault="00C3765C" w:rsidP="00C3765C">
      <w:pPr>
        <w:pBdr>
          <w:top w:val="single" w:sz="12" w:space="1" w:color="auto"/>
          <w:left w:val="single" w:sz="12" w:space="4" w:color="auto"/>
          <w:bottom w:val="single" w:sz="12" w:space="1" w:color="auto"/>
          <w:right w:val="single" w:sz="12" w:space="4" w:color="auto"/>
        </w:pBdr>
      </w:pPr>
      <w:r>
        <w:t xml:space="preserve">- </w:t>
      </w:r>
      <w:r w:rsidRPr="003629F0">
        <w:t>Les fiches et documents techniques permettant d’analyser l’offre (à lister)</w:t>
      </w:r>
      <w:r>
        <w:t>.</w:t>
      </w:r>
    </w:p>
    <w:p w:rsidR="00C3765C" w:rsidRPr="003629F0" w:rsidRDefault="00C3765C" w:rsidP="00C3765C">
      <w:pPr>
        <w:pBdr>
          <w:top w:val="single" w:sz="12" w:space="1" w:color="auto"/>
          <w:left w:val="single" w:sz="12" w:space="4" w:color="auto"/>
          <w:bottom w:val="single" w:sz="12" w:space="1" w:color="auto"/>
          <w:right w:val="single" w:sz="12" w:space="4" w:color="auto"/>
        </w:pBdr>
      </w:pPr>
      <w:r>
        <w:t xml:space="preserve">- </w:t>
      </w:r>
      <w:r w:rsidRPr="003629F0">
        <w:t>Les documents et notes exigés par le cahier spécial des charges et les documents auxquels il se réfère</w:t>
      </w:r>
      <w:r>
        <w:t>;</w:t>
      </w:r>
      <w:r w:rsidRPr="003629F0">
        <w:t xml:space="preserve"> notamment, l’engagement de l’entreprise concernant le</w:t>
      </w:r>
      <w:r>
        <w:t xml:space="preserve">s </w:t>
      </w:r>
      <w:r w:rsidRPr="003629F0">
        <w:t>Plan</w:t>
      </w:r>
      <w:r>
        <w:t>s</w:t>
      </w:r>
      <w:r w:rsidRPr="003629F0">
        <w:t xml:space="preserve"> qualité pour</w:t>
      </w:r>
      <w:r>
        <w:t xml:space="preserve"> revêtements bitumineux ou en </w:t>
      </w:r>
      <w:r w:rsidRPr="003629F0">
        <w:t>béton</w:t>
      </w:r>
      <w:r>
        <w:t xml:space="preserve">, </w:t>
      </w:r>
      <w:r w:rsidRPr="003629F0">
        <w:t>le</w:t>
      </w:r>
      <w:r>
        <w:t>s</w:t>
      </w:r>
      <w:r w:rsidRPr="003629F0">
        <w:t xml:space="preserve"> marqua</w:t>
      </w:r>
      <w:r>
        <w:t>ges ou encore les ouvrages métalliques;</w:t>
      </w:r>
    </w:p>
    <w:p w:rsidR="00C3765C" w:rsidRPr="003629F0" w:rsidRDefault="00C3765C" w:rsidP="00C3765C">
      <w:pPr>
        <w:pBdr>
          <w:top w:val="single" w:sz="12" w:space="1" w:color="auto"/>
          <w:left w:val="single" w:sz="12" w:space="4" w:color="auto"/>
          <w:bottom w:val="single" w:sz="12" w:space="1" w:color="auto"/>
          <w:right w:val="single" w:sz="12" w:space="4" w:color="auto"/>
        </w:pBdr>
      </w:pPr>
      <w:r>
        <w:t xml:space="preserve">- </w:t>
      </w:r>
      <w:r w:rsidRPr="003629F0">
        <w:t>Un document qui se réfère au plan de sécurité et de santé joint en annexe au cahier spécial des charges et dans lequel est décrit</w:t>
      </w:r>
      <w:r>
        <w:t>e la manière dont l’ouvrage est</w:t>
      </w:r>
      <w:r w:rsidRPr="003629F0">
        <w:t xml:space="preserve"> exécuté pour tenir compte de ce plan de sécurité et de santé</w:t>
      </w:r>
      <w:r>
        <w:t>;</w:t>
      </w:r>
    </w:p>
    <w:p w:rsidR="00C3765C" w:rsidRPr="003629F0" w:rsidRDefault="00C3765C" w:rsidP="00C3765C">
      <w:pPr>
        <w:pBdr>
          <w:top w:val="single" w:sz="12" w:space="1" w:color="auto"/>
          <w:left w:val="single" w:sz="12" w:space="4" w:color="auto"/>
          <w:bottom w:val="single" w:sz="12" w:space="1" w:color="auto"/>
          <w:right w:val="single" w:sz="12" w:space="4" w:color="auto"/>
        </w:pBdr>
      </w:pPr>
      <w:r>
        <w:t xml:space="preserve">- </w:t>
      </w:r>
      <w:r w:rsidRPr="003629F0">
        <w:t>Un calcul de prix séparé concernant les éventuels mesures et moyens de prévention déterminés par le plan de sécurité et de santé y compris les mesures et moyens extraordinaires de protection individuelle</w:t>
      </w:r>
      <w:r>
        <w:t>;</w:t>
      </w:r>
    </w:p>
    <w:p w:rsidR="00282CFE" w:rsidRPr="00282CFE" w:rsidRDefault="00C3765C" w:rsidP="00282CFE">
      <w:pPr>
        <w:pBdr>
          <w:top w:val="single" w:sz="12" w:space="1" w:color="auto"/>
          <w:left w:val="single" w:sz="12" w:space="4" w:color="auto"/>
          <w:bottom w:val="single" w:sz="12" w:space="1" w:color="auto"/>
          <w:right w:val="single" w:sz="12" w:space="4" w:color="auto"/>
        </w:pBdr>
      </w:pPr>
      <w:r>
        <w:t xml:space="preserve">- </w:t>
      </w:r>
      <w:r w:rsidRPr="003629F0">
        <w:t>La déclaration des entrepreneurs pour une concurrence loyale et contre le dumping s</w:t>
      </w:r>
      <w:r>
        <w:t>ocial, dûment signée.</w:t>
      </w:r>
      <w:r w:rsidRPr="003629F0">
        <w:t xml:space="preserve"> </w:t>
      </w:r>
    </w:p>
    <w:p w:rsidR="00282CFE" w:rsidRPr="00282CFE" w:rsidRDefault="00282CFE" w:rsidP="00282CFE">
      <w:pPr>
        <w:pStyle w:val="Corpsdetexte"/>
      </w:pPr>
      <w:r w:rsidRPr="00282CFE">
        <w:t>Ajouter à cette liste, tout autre document réclamé par le pouvoir adjudicateur en même temps que l'offre pour que cette liste soit exhaustive.</w:t>
      </w:r>
    </w:p>
    <w:p w:rsidR="00C3765C" w:rsidRDefault="00C3765C" w:rsidP="00F938BD">
      <w:pPr>
        <w:pStyle w:val="Titre3"/>
      </w:pPr>
      <w:bookmarkStart w:id="21" w:name="_Toc503796623"/>
      <w:r w:rsidRPr="00656155">
        <w:t>12.4. Congés</w:t>
      </w:r>
      <w:r>
        <w:t xml:space="preserve"> annuels et jours de repos compensatoires</w:t>
      </w:r>
      <w:bookmarkEnd w:id="21"/>
    </w:p>
    <w:p w:rsidR="00C3765C" w:rsidRPr="007963D7" w:rsidRDefault="00C3765C" w:rsidP="00C3765C">
      <w:pPr>
        <w:pBdr>
          <w:top w:val="single" w:sz="12" w:space="1" w:color="auto"/>
          <w:left w:val="single" w:sz="12" w:space="1" w:color="auto"/>
          <w:bottom w:val="single" w:sz="12" w:space="1" w:color="auto"/>
          <w:right w:val="single" w:sz="12" w:space="1" w:color="auto"/>
        </w:pBdr>
        <w:rPr>
          <w:color w:val="FF0000"/>
        </w:rPr>
      </w:pPr>
      <w:r>
        <w:t xml:space="preserve">Indiquer que l'offre doit mentionner les jours de vacances annuelles et les jours de repos compensatoires. </w:t>
      </w:r>
    </w:p>
    <w:p w:rsidR="00C3765C" w:rsidRDefault="00C3765C" w:rsidP="00C3765C">
      <w:pPr>
        <w:pStyle w:val="Corpsdetexte"/>
      </w:pPr>
    </w:p>
    <w:p w:rsidR="00C3765C" w:rsidRDefault="00C3765C" w:rsidP="00C3765C">
      <w:pPr>
        <w:pStyle w:val="Corpsdetexte"/>
      </w:pPr>
      <w:r>
        <w:t xml:space="preserve">Cette exigence permet au pouvoir adjudicateur de </w:t>
      </w:r>
      <w:r w:rsidRPr="0000461F">
        <w:t>conclure le marché et de délivrer l’ordre de commencer les travaux</w:t>
      </w:r>
      <w:r>
        <w:t xml:space="preserve"> en connaissance de cause </w:t>
      </w:r>
      <w:r w:rsidRPr="0000461F">
        <w:t>ainsi que de calculer</w:t>
      </w:r>
      <w:r>
        <w:t xml:space="preserve"> le délai de 30 jours accordé à l'entrepreneur pour </w:t>
      </w:r>
      <w:r w:rsidRPr="00390540">
        <w:t>la constitution du cautionnement, délai qui peut être suspendu pendant la fermeture de l'entreprise.</w:t>
      </w:r>
    </w:p>
    <w:p w:rsidR="00C3765C" w:rsidRPr="006717B5" w:rsidRDefault="00C3765C" w:rsidP="00F938BD">
      <w:pPr>
        <w:pStyle w:val="Titre2"/>
      </w:pPr>
      <w:bookmarkStart w:id="22" w:name="_Toc503796624"/>
      <w:r>
        <w:t>13. Dépôt des offre</w:t>
      </w:r>
      <w:r w:rsidRPr="004B73EA">
        <w:t xml:space="preserve">s </w:t>
      </w:r>
      <w:r w:rsidRPr="00EE1FFE">
        <w:t>(cf</w:t>
      </w:r>
      <w:r w:rsidRPr="006717B5">
        <w:t xml:space="preserve">. </w:t>
      </w:r>
      <w:r>
        <w:t>dispositions transitoires des articles 128 et 129 de l’ARP):</w:t>
      </w:r>
      <w:bookmarkEnd w:id="22"/>
    </w:p>
    <w:p w:rsidR="00C3765C" w:rsidRDefault="00C3765C" w:rsidP="00C3765C">
      <w:pPr>
        <w:pBdr>
          <w:top w:val="single" w:sz="12" w:space="1" w:color="auto"/>
          <w:left w:val="single" w:sz="12" w:space="4" w:color="auto"/>
          <w:bottom w:val="single" w:sz="12" w:space="1" w:color="auto"/>
          <w:right w:val="single" w:sz="12" w:space="4" w:color="auto"/>
        </w:pBdr>
      </w:pPr>
      <w:r w:rsidRPr="006717B5">
        <w:t>L’offre et l</w:t>
      </w:r>
      <w:r>
        <w:t>es documents requis sont</w:t>
      </w:r>
      <w:r w:rsidRPr="006717B5">
        <w:t xml:space="preserve"> envoyés à l’adresse suivante</w:t>
      </w:r>
      <w:r>
        <w:t>:</w:t>
      </w:r>
      <w:r w:rsidRPr="006717B5">
        <w:t xml:space="preserve"> </w:t>
      </w:r>
    </w:p>
    <w:p w:rsidR="00C3765C" w:rsidRDefault="00C3765C" w:rsidP="00C3765C">
      <w:pPr>
        <w:pBdr>
          <w:top w:val="single" w:sz="12" w:space="1" w:color="auto"/>
          <w:left w:val="single" w:sz="12" w:space="4" w:color="auto"/>
          <w:bottom w:val="single" w:sz="12" w:space="1" w:color="auto"/>
          <w:right w:val="single" w:sz="12" w:space="4" w:color="auto"/>
        </w:pBdr>
      </w:pPr>
    </w:p>
    <w:p w:rsidR="00C3765C" w:rsidRPr="006717B5" w:rsidRDefault="00C3765C" w:rsidP="00C3765C">
      <w:pPr>
        <w:pBdr>
          <w:top w:val="single" w:sz="12" w:space="1" w:color="auto"/>
          <w:left w:val="single" w:sz="12" w:space="4" w:color="auto"/>
          <w:bottom w:val="single" w:sz="12" w:space="1" w:color="auto"/>
          <w:right w:val="single" w:sz="12" w:space="4" w:color="auto"/>
        </w:pBdr>
        <w:tabs>
          <w:tab w:val="left" w:pos="3885"/>
          <w:tab w:val="center" w:pos="4498"/>
        </w:tabs>
        <w:jc w:val="center"/>
      </w:pPr>
      <w:r>
        <w:t>Identification du service</w:t>
      </w:r>
    </w:p>
    <w:p w:rsidR="00C3765C" w:rsidRPr="006717B5" w:rsidRDefault="00C3765C" w:rsidP="00C3765C">
      <w:pPr>
        <w:pBdr>
          <w:top w:val="single" w:sz="12" w:space="1" w:color="auto"/>
          <w:left w:val="single" w:sz="12" w:space="4" w:color="auto"/>
          <w:bottom w:val="single" w:sz="12" w:space="1" w:color="auto"/>
          <w:right w:val="single" w:sz="12" w:space="4" w:color="auto"/>
        </w:pBdr>
        <w:jc w:val="center"/>
      </w:pPr>
      <w:r w:rsidRPr="006717B5">
        <w:t>A l’attention de …</w:t>
      </w:r>
    </w:p>
    <w:p w:rsidR="00C3765C" w:rsidRPr="006717B5" w:rsidRDefault="00C3765C" w:rsidP="00C3765C">
      <w:pPr>
        <w:pBdr>
          <w:top w:val="single" w:sz="12" w:space="1" w:color="auto"/>
          <w:left w:val="single" w:sz="12" w:space="4" w:color="auto"/>
          <w:bottom w:val="single" w:sz="12" w:space="1" w:color="auto"/>
          <w:right w:val="single" w:sz="12" w:space="4" w:color="auto"/>
        </w:pBdr>
        <w:jc w:val="center"/>
      </w:pPr>
      <w:r w:rsidRPr="006717B5">
        <w:t>Rue….</w:t>
      </w:r>
    </w:p>
    <w:p w:rsidR="00C3765C" w:rsidRPr="006717B5" w:rsidRDefault="00C3765C" w:rsidP="00C3765C">
      <w:pPr>
        <w:pBdr>
          <w:top w:val="single" w:sz="12" w:space="1" w:color="auto"/>
          <w:left w:val="single" w:sz="12" w:space="4" w:color="auto"/>
          <w:bottom w:val="single" w:sz="12" w:space="1" w:color="auto"/>
          <w:right w:val="single" w:sz="12" w:space="4" w:color="auto"/>
        </w:pBdr>
        <w:jc w:val="center"/>
      </w:pPr>
      <w:r w:rsidRPr="006717B5">
        <w:t>Code postal et localité</w:t>
      </w:r>
    </w:p>
    <w:p w:rsidR="00C3765C" w:rsidRPr="0007449B" w:rsidRDefault="00C3765C" w:rsidP="00C3765C">
      <w:pPr>
        <w:pStyle w:val="Sansinterligne"/>
        <w:tabs>
          <w:tab w:val="left" w:pos="1620"/>
        </w:tabs>
      </w:pPr>
      <w:r w:rsidRPr="006717B5">
        <w:tab/>
      </w:r>
    </w:p>
    <w:p w:rsidR="00C3765C" w:rsidRPr="006717B5" w:rsidRDefault="00C3765C" w:rsidP="00C3765C">
      <w:pPr>
        <w:pBdr>
          <w:top w:val="single" w:sz="12" w:space="1" w:color="auto"/>
          <w:left w:val="single" w:sz="12" w:space="4" w:color="auto"/>
          <w:bottom w:val="single" w:sz="12" w:space="1" w:color="auto"/>
          <w:right w:val="single" w:sz="12" w:space="4" w:color="auto"/>
        </w:pBdr>
      </w:pPr>
      <w:r>
        <w:t>L’ouverture des offres a</w:t>
      </w:r>
      <w:r w:rsidRPr="006717B5">
        <w:t xml:space="preserve"> lieu l</w:t>
      </w:r>
      <w:r>
        <w:t>e…</w:t>
      </w:r>
      <w:r w:rsidRPr="006717B5">
        <w:t xml:space="preserve"> à </w:t>
      </w:r>
      <w:r>
        <w:rPr>
          <w:b/>
        </w:rPr>
        <w:t>…</w:t>
      </w:r>
      <w:r w:rsidRPr="006717B5">
        <w:t xml:space="preserve"> heures, à la Direction </w:t>
      </w:r>
      <w:r>
        <w:t>…</w:t>
      </w:r>
      <w:r w:rsidRPr="006717B5">
        <w:t xml:space="preserve">, à l’adresse précitée (étage </w:t>
      </w:r>
      <w:r>
        <w:t>...</w:t>
      </w:r>
      <w:r w:rsidRPr="006717B5">
        <w:t xml:space="preserve"> –</w:t>
      </w:r>
      <w:r>
        <w:t xml:space="preserve"> </w:t>
      </w:r>
      <w:r w:rsidRPr="006717B5">
        <w:t xml:space="preserve">local </w:t>
      </w:r>
      <w:r>
        <w:t>…</w:t>
      </w:r>
      <w:r w:rsidRPr="006717B5">
        <w:t>).</w:t>
      </w:r>
    </w:p>
    <w:p w:rsidR="00C3765C" w:rsidRPr="006717B5" w:rsidRDefault="00C3765C" w:rsidP="00C3765C">
      <w:pPr>
        <w:pStyle w:val="Sansinterligne"/>
        <w:ind w:firstLine="708"/>
      </w:pPr>
    </w:p>
    <w:p w:rsidR="00C3765C" w:rsidRDefault="00C3765C" w:rsidP="00C3765C">
      <w:r w:rsidRPr="006717B5">
        <w:t xml:space="preserve">L’offre établie sur papier est glissée </w:t>
      </w:r>
      <w:r w:rsidRPr="00EE1FFE">
        <w:rPr>
          <w:u w:val="single"/>
        </w:rPr>
        <w:t>sous pli définitivement scellé</w:t>
      </w:r>
      <w:r w:rsidRPr="006717B5">
        <w:t xml:space="preserve"> mentionnant</w:t>
      </w:r>
      <w:r>
        <w:t>:</w:t>
      </w:r>
    </w:p>
    <w:p w:rsidR="00C3765C" w:rsidRDefault="00C3765C" w:rsidP="00C3765C">
      <w:pPr>
        <w:pStyle w:val="Paragraphedeliste"/>
        <w:numPr>
          <w:ilvl w:val="0"/>
          <w:numId w:val="3"/>
        </w:numPr>
        <w:spacing w:after="200" w:line="276" w:lineRule="auto"/>
      </w:pPr>
      <w:r w:rsidRPr="004B73EA">
        <w:lastRenderedPageBreak/>
        <w:t>La date de la séance d’ouverture des offres;</w:t>
      </w:r>
    </w:p>
    <w:p w:rsidR="00C3765C" w:rsidRDefault="00C3765C" w:rsidP="00C3765C">
      <w:pPr>
        <w:pStyle w:val="Paragraphedeliste"/>
        <w:numPr>
          <w:ilvl w:val="0"/>
          <w:numId w:val="3"/>
        </w:numPr>
        <w:spacing w:after="200" w:line="276" w:lineRule="auto"/>
      </w:pPr>
      <w:r w:rsidRPr="004B73EA">
        <w:t>Le numéro de cahier spécial des charges et l’objet du marché;</w:t>
      </w:r>
    </w:p>
    <w:p w:rsidR="00C3765C" w:rsidRPr="006717B5" w:rsidRDefault="00C3765C" w:rsidP="00C3765C">
      <w:pPr>
        <w:pStyle w:val="Paragraphedeliste"/>
        <w:numPr>
          <w:ilvl w:val="0"/>
          <w:numId w:val="3"/>
        </w:numPr>
        <w:spacing w:after="200" w:line="276" w:lineRule="auto"/>
      </w:pPr>
      <w:r w:rsidRPr="004B73EA">
        <w:t>Le numéro des lots, le cas échéant.</w:t>
      </w:r>
    </w:p>
    <w:p w:rsidR="00C3765C" w:rsidRPr="006717B5" w:rsidRDefault="00C3765C" w:rsidP="00C3765C">
      <w:r w:rsidRPr="006717B5">
        <w:t>L’offre est envoyée par service postal ou remise par porteur.</w:t>
      </w:r>
    </w:p>
    <w:p w:rsidR="00C3765C" w:rsidRPr="006717B5" w:rsidRDefault="00C3765C" w:rsidP="00C3765C">
      <w:pPr>
        <w:spacing w:after="200" w:line="276" w:lineRule="auto"/>
        <w:rPr>
          <w:i/>
        </w:rPr>
      </w:pPr>
      <w:r w:rsidRPr="006717B5">
        <w:rPr>
          <w:i/>
          <w:u w:val="single"/>
        </w:rPr>
        <w:t>En cas d’envoi par service postal</w:t>
      </w:r>
      <w:r>
        <w:rPr>
          <w:i/>
        </w:rPr>
        <w:t>:</w:t>
      </w:r>
    </w:p>
    <w:p w:rsidR="00C3765C" w:rsidRDefault="00C3765C" w:rsidP="00C3765C">
      <w:r w:rsidRPr="006717B5">
        <w:t xml:space="preserve">Le pli définitivement scellé est glissé dans une seconde enveloppe fermée portant clairement la mention </w:t>
      </w:r>
      <w:r>
        <w:t>"</w:t>
      </w:r>
      <w:r w:rsidRPr="006717B5">
        <w:t>OFFRE</w:t>
      </w:r>
      <w:r>
        <w:t>"</w:t>
      </w:r>
      <w:r w:rsidRPr="006717B5">
        <w:t xml:space="preserve"> ainsi que les références du marché.</w:t>
      </w:r>
    </w:p>
    <w:p w:rsidR="00C3765C" w:rsidRPr="006717B5" w:rsidRDefault="00C3765C" w:rsidP="00C3765C">
      <w:pPr>
        <w:spacing w:after="200" w:line="276" w:lineRule="auto"/>
      </w:pPr>
      <w:r w:rsidRPr="006717B5">
        <w:rPr>
          <w:i/>
          <w:u w:val="single"/>
        </w:rPr>
        <w:t>En cas de remise par porteur</w:t>
      </w:r>
      <w:r>
        <w:rPr>
          <w:i/>
        </w:rPr>
        <w:t>:</w:t>
      </w:r>
      <w:r w:rsidRPr="006717B5">
        <w:rPr>
          <w:i/>
        </w:rPr>
        <w:t xml:space="preserve"> </w:t>
      </w:r>
    </w:p>
    <w:p w:rsidR="00C3765C" w:rsidRPr="006717B5" w:rsidRDefault="00C3765C" w:rsidP="00C3765C">
      <w:r w:rsidRPr="006717B5">
        <w:t xml:space="preserve">Le pli définitivement scellé doit impérativement être déposé auprès de </w:t>
      </w:r>
      <w:r w:rsidRPr="006F35FE">
        <w:rPr>
          <w:bdr w:val="single" w:sz="12" w:space="0" w:color="auto"/>
        </w:rPr>
        <w:t>…</w:t>
      </w:r>
      <w:r w:rsidR="00282CFE">
        <w:rPr>
          <w:bdr w:val="single" w:sz="12" w:space="0" w:color="auto"/>
        </w:rPr>
        <w:t>………………….</w:t>
      </w:r>
      <w:r w:rsidRPr="006717B5">
        <w:t xml:space="preserve"> (</w:t>
      </w:r>
      <w:proofErr w:type="gramStart"/>
      <w:r w:rsidRPr="006717B5">
        <w:t>spécifier</w:t>
      </w:r>
      <w:proofErr w:type="gramEnd"/>
      <w:r w:rsidRPr="006717B5">
        <w:t xml:space="preserve"> la personne et/ou le local et/ou l’urne prévu à cet effet)</w:t>
      </w:r>
    </w:p>
    <w:p w:rsidR="00C3765C" w:rsidRDefault="00C3765C" w:rsidP="00C3765C">
      <w:r w:rsidRPr="006717B5">
        <w:t>La remise d’offre par porteur est uniquement autorisée pendant les heures de bureau soit de</w:t>
      </w:r>
      <w:r w:rsidR="00282CFE">
        <w:t xml:space="preserve"> </w:t>
      </w:r>
      <w:r w:rsidR="00282CFE" w:rsidRPr="006F35FE">
        <w:rPr>
          <w:bdr w:val="single" w:sz="12" w:space="0" w:color="auto"/>
        </w:rPr>
        <w:t>…</w:t>
      </w:r>
      <w:r w:rsidR="00282CFE">
        <w:rPr>
          <w:bdr w:val="single" w:sz="12" w:space="0" w:color="auto"/>
        </w:rPr>
        <w:t>…</w:t>
      </w:r>
      <w:r w:rsidRPr="006717B5">
        <w:t xml:space="preserve">à </w:t>
      </w:r>
      <w:r w:rsidR="00282CFE" w:rsidRPr="006F35FE">
        <w:rPr>
          <w:bdr w:val="single" w:sz="12" w:space="0" w:color="auto"/>
        </w:rPr>
        <w:t>…</w:t>
      </w:r>
      <w:r w:rsidR="00282CFE">
        <w:rPr>
          <w:bdr w:val="single" w:sz="12" w:space="0" w:color="auto"/>
        </w:rPr>
        <w:t>…</w:t>
      </w:r>
      <w:r w:rsidRPr="006717B5">
        <w:t xml:space="preserve"> et de </w:t>
      </w:r>
      <w:r w:rsidR="00282CFE" w:rsidRPr="006F35FE">
        <w:rPr>
          <w:bdr w:val="single" w:sz="12" w:space="0" w:color="auto"/>
        </w:rPr>
        <w:t>…</w:t>
      </w:r>
      <w:r w:rsidR="00282CFE">
        <w:rPr>
          <w:bdr w:val="single" w:sz="12" w:space="0" w:color="auto"/>
        </w:rPr>
        <w:t>…</w:t>
      </w:r>
      <w:r w:rsidRPr="006717B5">
        <w:t xml:space="preserve"> à </w:t>
      </w:r>
      <w:r w:rsidR="00282CFE" w:rsidRPr="006F35FE">
        <w:rPr>
          <w:bdr w:val="single" w:sz="12" w:space="0" w:color="auto"/>
        </w:rPr>
        <w:t>…</w:t>
      </w:r>
      <w:r w:rsidR="00282CFE">
        <w:rPr>
          <w:bdr w:val="single" w:sz="12" w:space="0" w:color="auto"/>
        </w:rPr>
        <w:t>…</w:t>
      </w:r>
      <w:r w:rsidRPr="006717B5">
        <w:t>.</w:t>
      </w:r>
    </w:p>
    <w:p w:rsidR="00C3765C" w:rsidRPr="00A91145" w:rsidRDefault="00C3765C" w:rsidP="00A91145">
      <w:pPr>
        <w:autoSpaceDE w:val="0"/>
        <w:autoSpaceDN w:val="0"/>
        <w:adjustRightInd w:val="0"/>
        <w:rPr>
          <w:rFonts w:cs="Arial"/>
          <w:b/>
          <w:color w:val="FF0000"/>
        </w:rPr>
      </w:pPr>
      <w:r w:rsidRPr="006717B5">
        <w:rPr>
          <w:rFonts w:cs="Arial"/>
        </w:rPr>
        <w:t>Toute offre doit parvenir au président de séance avant que celui-ci ne déclare la séance ouverte. Quelle qu’en soit la cause, les offres qui parviennent tardivement auprès du président sont refusées ou conservées sans être ouvertes.</w:t>
      </w:r>
      <w:r>
        <w:rPr>
          <w:rFonts w:cs="Arial"/>
        </w:rPr>
        <w:t xml:space="preserve"> </w:t>
      </w:r>
    </w:p>
    <w:p w:rsidR="00C3765C" w:rsidRPr="00A0476F" w:rsidRDefault="00C3765C" w:rsidP="00F938BD">
      <w:pPr>
        <w:pStyle w:val="Titre2"/>
      </w:pPr>
      <w:bookmarkStart w:id="23" w:name="_Toc503796625"/>
      <w:r>
        <w:t>14</w:t>
      </w:r>
      <w:r w:rsidRPr="00A0476F">
        <w:t>. Répétition de travaux similaires (article 42 §1</w:t>
      </w:r>
      <w:r w:rsidRPr="00A0476F">
        <w:rPr>
          <w:vertAlign w:val="superscript"/>
        </w:rPr>
        <w:t>er</w:t>
      </w:r>
      <w:r w:rsidRPr="00A0476F">
        <w:t>, 2° de la loi)</w:t>
      </w:r>
      <w:bookmarkEnd w:id="23"/>
    </w:p>
    <w:p w:rsidR="0018723E" w:rsidRPr="00A91145" w:rsidRDefault="00282CFE" w:rsidP="00A91145">
      <w:pPr>
        <w:pStyle w:val="Corpsdetexte3"/>
        <w:rPr>
          <w:rFonts w:ascii="Times New Roman" w:hAnsi="Times New Roman"/>
          <w:i/>
          <w:sz w:val="24"/>
          <w:szCs w:val="24"/>
        </w:rPr>
      </w:pPr>
      <w:r>
        <w:rPr>
          <w:rFonts w:ascii="Times New Roman" w:hAnsi="Times New Roman"/>
          <w:i/>
          <w:sz w:val="24"/>
          <w:szCs w:val="24"/>
        </w:rPr>
        <w:t xml:space="preserve">La répétition est incompatible avec la procédure de </w:t>
      </w:r>
      <w:proofErr w:type="spellStart"/>
      <w:r>
        <w:rPr>
          <w:rFonts w:ascii="Times New Roman" w:hAnsi="Times New Roman"/>
          <w:i/>
          <w:sz w:val="24"/>
          <w:szCs w:val="24"/>
        </w:rPr>
        <w:t>subsidiation</w:t>
      </w:r>
      <w:proofErr w:type="spellEnd"/>
      <w:r>
        <w:rPr>
          <w:rFonts w:ascii="Times New Roman" w:hAnsi="Times New Roman"/>
          <w:i/>
          <w:sz w:val="24"/>
          <w:szCs w:val="24"/>
        </w:rPr>
        <w:t xml:space="preserve"> du plan d'investissement communal.</w:t>
      </w:r>
    </w:p>
    <w:p w:rsidR="00C3765C" w:rsidRDefault="00C3765C" w:rsidP="00F938BD">
      <w:pPr>
        <w:pStyle w:val="Titre2"/>
      </w:pPr>
      <w:bookmarkStart w:id="24" w:name="_Toc503796626"/>
      <w:r w:rsidRPr="00A0476F">
        <w:t>1</w:t>
      </w:r>
      <w:r>
        <w:t>5</w:t>
      </w:r>
      <w:r w:rsidRPr="00A0476F">
        <w:t>. Reconduction du marché (article 57 al. 2et 3 de la loi)</w:t>
      </w:r>
      <w:bookmarkEnd w:id="24"/>
    </w:p>
    <w:p w:rsidR="00C3765C" w:rsidRPr="009E190A" w:rsidRDefault="00282CFE" w:rsidP="009E190A">
      <w:pPr>
        <w:rPr>
          <w:i/>
        </w:rPr>
      </w:pPr>
      <w:r>
        <w:rPr>
          <w:rFonts w:ascii="Times New Roman" w:hAnsi="Times New Roman"/>
          <w:i/>
        </w:rPr>
        <w:t xml:space="preserve">La reconduction est incompatible avec la procédure de </w:t>
      </w:r>
      <w:proofErr w:type="spellStart"/>
      <w:r>
        <w:rPr>
          <w:rFonts w:ascii="Times New Roman" w:hAnsi="Times New Roman"/>
          <w:i/>
        </w:rPr>
        <w:t>subsidiation</w:t>
      </w:r>
      <w:proofErr w:type="spellEnd"/>
      <w:r>
        <w:rPr>
          <w:rFonts w:ascii="Times New Roman" w:hAnsi="Times New Roman"/>
          <w:i/>
        </w:rPr>
        <w:t xml:space="preserve"> du plan d'investissement communal</w:t>
      </w:r>
      <w:r w:rsidR="00C3765C" w:rsidRPr="00A0476F">
        <w:rPr>
          <w:i/>
        </w:rPr>
        <w:t>.</w:t>
      </w:r>
    </w:p>
    <w:p w:rsidR="00C3765C" w:rsidRDefault="00C3765C" w:rsidP="00F938BD">
      <w:pPr>
        <w:pStyle w:val="Titre2"/>
      </w:pPr>
      <w:r w:rsidRPr="00EF5129">
        <w:rPr>
          <w:i/>
          <w:iCs/>
          <w:szCs w:val="24"/>
          <w:lang w:val="fr-BE"/>
        </w:rPr>
        <w:t> </w:t>
      </w:r>
      <w:bookmarkStart w:id="25" w:name="_Toc503796627"/>
      <w:r>
        <w:t>16. Renseignements utiles</w:t>
      </w:r>
      <w:bookmarkEnd w:id="25"/>
    </w:p>
    <w:p w:rsidR="00C3765C" w:rsidRDefault="00C3765C" w:rsidP="00C3765C">
      <w:pPr>
        <w:pBdr>
          <w:top w:val="single" w:sz="12" w:space="1" w:color="auto"/>
          <w:left w:val="single" w:sz="12" w:space="4" w:color="auto"/>
          <w:bottom w:val="single" w:sz="12" w:space="1" w:color="auto"/>
          <w:right w:val="single" w:sz="12" w:space="4" w:color="auto"/>
        </w:pBdr>
      </w:pPr>
      <w:r>
        <w:t>Tout renseignement au sujet du présent marché peut être obtenu auprès de:</w:t>
      </w:r>
    </w:p>
    <w:p w:rsidR="00C3765C" w:rsidRDefault="00C3765C" w:rsidP="00C3765C">
      <w:pPr>
        <w:pBdr>
          <w:top w:val="single" w:sz="12" w:space="1" w:color="auto"/>
          <w:left w:val="single" w:sz="12" w:space="4" w:color="auto"/>
          <w:bottom w:val="single" w:sz="12" w:space="1" w:color="auto"/>
          <w:right w:val="single" w:sz="12" w:space="4" w:color="auto"/>
        </w:pBdr>
      </w:pPr>
      <w:r>
        <w:t>M. / Mme …………..</w:t>
      </w:r>
    </w:p>
    <w:p w:rsidR="00C3765C" w:rsidRDefault="00C3765C" w:rsidP="00C3765C">
      <w:pPr>
        <w:pBdr>
          <w:top w:val="single" w:sz="12" w:space="1" w:color="auto"/>
          <w:left w:val="single" w:sz="12" w:space="4" w:color="auto"/>
          <w:bottom w:val="single" w:sz="12" w:space="1" w:color="auto"/>
          <w:right w:val="single" w:sz="12" w:space="4" w:color="auto"/>
        </w:pBdr>
      </w:pPr>
      <w:r>
        <w:t>Tél:………….</w:t>
      </w:r>
    </w:p>
    <w:p w:rsidR="00C3765C" w:rsidRDefault="00C3765C" w:rsidP="00C3765C">
      <w:pPr>
        <w:pBdr>
          <w:top w:val="single" w:sz="12" w:space="1" w:color="auto"/>
          <w:left w:val="single" w:sz="12" w:space="4" w:color="auto"/>
          <w:bottom w:val="single" w:sz="12" w:space="1" w:color="auto"/>
          <w:right w:val="single" w:sz="12" w:space="4" w:color="auto"/>
        </w:pBdr>
      </w:pPr>
      <w:r>
        <w:t>Fax:</w:t>
      </w:r>
      <w:r w:rsidRPr="00D85624">
        <w:t xml:space="preserve"> </w:t>
      </w:r>
      <w:r>
        <w:t>…………..</w:t>
      </w:r>
    </w:p>
    <w:p w:rsidR="00C3765C" w:rsidRDefault="00C3765C" w:rsidP="00C3765C">
      <w:pPr>
        <w:pBdr>
          <w:top w:val="single" w:sz="12" w:space="1" w:color="auto"/>
          <w:left w:val="single" w:sz="12" w:space="4" w:color="auto"/>
          <w:bottom w:val="single" w:sz="12" w:space="1" w:color="auto"/>
          <w:right w:val="single" w:sz="12" w:space="4" w:color="auto"/>
        </w:pBdr>
      </w:pPr>
      <w:r>
        <w:t>Courriel:</w:t>
      </w:r>
      <w:r w:rsidRPr="00D85624">
        <w:t xml:space="preserve"> </w:t>
      </w:r>
      <w:r>
        <w:t>…………..</w:t>
      </w:r>
    </w:p>
    <w:tbl>
      <w:tblPr>
        <w:tblpPr w:leftFromText="141" w:rightFromText="141" w:vertAnchor="text" w:horzAnchor="page" w:tblpX="1898" w:tblpY="607"/>
        <w:tblW w:w="0" w:type="auto"/>
        <w:tblLayout w:type="fixed"/>
        <w:tblCellMar>
          <w:left w:w="70" w:type="dxa"/>
          <w:right w:w="70" w:type="dxa"/>
        </w:tblCellMar>
        <w:tblLook w:val="0000"/>
      </w:tblPr>
      <w:tblGrid>
        <w:gridCol w:w="6024"/>
      </w:tblGrid>
      <w:tr w:rsidR="00C3765C" w:rsidTr="00382ACF">
        <w:tc>
          <w:tcPr>
            <w:tcW w:w="6024" w:type="dxa"/>
          </w:tcPr>
          <w:p w:rsidR="00C3765C" w:rsidRDefault="00C3765C" w:rsidP="00382ACF"/>
        </w:tc>
      </w:tr>
    </w:tbl>
    <w:p w:rsidR="00C3765C" w:rsidRDefault="00C3765C" w:rsidP="00C3765C"/>
    <w:p w:rsidR="0018723E" w:rsidRDefault="0018723E">
      <w:pPr>
        <w:spacing w:before="0" w:after="200" w:line="276" w:lineRule="auto"/>
        <w:jc w:val="left"/>
        <w:rPr>
          <w:b/>
          <w:sz w:val="28"/>
        </w:rPr>
      </w:pPr>
      <w:r>
        <w:rPr>
          <w:b/>
          <w:sz w:val="28"/>
        </w:rPr>
        <w:br w:type="page"/>
      </w:r>
    </w:p>
    <w:p w:rsidR="00C3765C" w:rsidRDefault="00F3409E" w:rsidP="00F938BD">
      <w:pPr>
        <w:pStyle w:val="Titre1"/>
      </w:pPr>
      <w:bookmarkStart w:id="26" w:name="_Toc503796628"/>
      <w:r>
        <w:lastRenderedPageBreak/>
        <w:t>2</w:t>
      </w:r>
      <w:r w:rsidRPr="00F3409E">
        <w:rPr>
          <w:vertAlign w:val="superscript"/>
        </w:rPr>
        <w:t>ème</w:t>
      </w:r>
      <w:r>
        <w:t xml:space="preserve"> partie - </w:t>
      </w:r>
      <w:r w:rsidR="00C3765C">
        <w:t>Précis</w:t>
      </w:r>
      <w:r w:rsidR="006B3928">
        <w:t>ions et commentaires relatifs au</w:t>
      </w:r>
      <w:r w:rsidR="00C3765C">
        <w:t xml:space="preserve"> chapitre A </w:t>
      </w:r>
      <w:r w:rsidR="00C3765C">
        <w:br/>
        <w:t>– clauses administratives du CCT QUALIROUTES</w:t>
      </w:r>
      <w:bookmarkEnd w:id="26"/>
    </w:p>
    <w:p w:rsidR="00C3765C" w:rsidRDefault="00C3765C" w:rsidP="00C3765C">
      <w:pPr>
        <w:spacing w:line="300" w:lineRule="atLeast"/>
      </w:pPr>
    </w:p>
    <w:p w:rsidR="00C3765C" w:rsidRPr="002061CC" w:rsidRDefault="00C3765C" w:rsidP="009E190A">
      <w:pPr>
        <w:tabs>
          <w:tab w:val="left" w:pos="851"/>
        </w:tabs>
        <w:spacing w:line="300" w:lineRule="atLeast"/>
        <w:ind w:left="851" w:hanging="851"/>
        <w:rPr>
          <w:i/>
          <w:strike/>
          <w:color w:val="FF0000"/>
        </w:rPr>
      </w:pPr>
      <w:r w:rsidRPr="00902B2F">
        <w:rPr>
          <w:i/>
          <w:u w:val="single"/>
        </w:rPr>
        <w:t>Note</w:t>
      </w:r>
      <w:r w:rsidRPr="00902B2F">
        <w:rPr>
          <w:i/>
        </w:rPr>
        <w:t>:</w:t>
      </w:r>
      <w:r w:rsidRPr="00902B2F">
        <w:rPr>
          <w:i/>
        </w:rPr>
        <w:tab/>
        <w:t xml:space="preserve">les numéros des articles sont ceux </w:t>
      </w:r>
      <w:r w:rsidRPr="00B91907">
        <w:rPr>
          <w:i/>
        </w:rPr>
        <w:t>de l’AR 18 avril 2017</w:t>
      </w:r>
      <w:r w:rsidRPr="00902B2F">
        <w:rPr>
          <w:i/>
        </w:rPr>
        <w:t xml:space="preserve"> relatif à la passation des marchés publics dans les secteurs classiques et de l’AR du 14 janvier 2013 établissant les règles générales d’exécution des marchés publics,</w:t>
      </w:r>
      <w:r w:rsidRPr="00902B2F">
        <w:t xml:space="preserve"> </w:t>
      </w:r>
      <w:r w:rsidRPr="00902B2F">
        <w:rPr>
          <w:i/>
        </w:rPr>
        <w:t>de</w:t>
      </w:r>
      <w:r w:rsidRPr="00902B2F">
        <w:rPr>
          <w:rFonts w:eastAsiaTheme="minorHAnsi"/>
          <w:b/>
          <w:bCs/>
          <w:i/>
          <w:lang w:eastAsia="en-US"/>
        </w:rPr>
        <w:t xml:space="preserve"> </w:t>
      </w:r>
      <w:r w:rsidRPr="00902B2F">
        <w:rPr>
          <w:rFonts w:eastAsiaTheme="minorHAnsi"/>
          <w:bCs/>
          <w:i/>
          <w:lang w:eastAsia="en-US"/>
        </w:rPr>
        <w:t>certains marchés de travaux, de fournitures et de services et de concessions.</w:t>
      </w:r>
      <w:r>
        <w:rPr>
          <w:i/>
        </w:rPr>
        <w:t xml:space="preserve"> </w:t>
      </w:r>
    </w:p>
    <w:p w:rsidR="00DD5917" w:rsidRDefault="00DD5917" w:rsidP="006B3928">
      <w:pPr>
        <w:pStyle w:val="Titre2"/>
      </w:pPr>
      <w:bookmarkStart w:id="27" w:name="_Toc503796629"/>
      <w:r w:rsidRPr="00DE6AAF">
        <w:t>A</w:t>
      </w:r>
      <w:r>
        <w:t>.</w:t>
      </w:r>
      <w:r w:rsidRPr="00DE6AAF">
        <w:t>R</w:t>
      </w:r>
      <w:r>
        <w:t>.</w:t>
      </w:r>
      <w:r w:rsidRPr="00DE6AAF">
        <w:t xml:space="preserve"> DU 14 JANVIER 2013 </w:t>
      </w:r>
      <w:r>
        <w:t>(RGE)</w:t>
      </w:r>
      <w:bookmarkEnd w:id="27"/>
    </w:p>
    <w:p w:rsidR="00DD5917" w:rsidRPr="00DD5917" w:rsidRDefault="00DD5917" w:rsidP="006B3928">
      <w:pPr>
        <w:pStyle w:val="Titre3"/>
      </w:pPr>
      <w:bookmarkStart w:id="28" w:name="_Toc503796630"/>
      <w:r w:rsidRPr="00DD5917">
        <w:t>A</w:t>
      </w:r>
      <w:r w:rsidR="00382ACF">
        <w:t>rticle</w:t>
      </w:r>
      <w:r w:rsidRPr="00DD5917">
        <w:t xml:space="preserve"> 10: </w:t>
      </w:r>
      <w:r w:rsidR="00382ACF">
        <w:t>u</w:t>
      </w:r>
      <w:r w:rsidRPr="00DD5917">
        <w:t>tilisation des moyens électroniques</w:t>
      </w:r>
      <w:bookmarkEnd w:id="28"/>
      <w:r w:rsidRPr="00DD5917">
        <w:t xml:space="preserve"> </w:t>
      </w:r>
    </w:p>
    <w:p w:rsidR="00DD5917" w:rsidRPr="003C1BA7" w:rsidRDefault="00DD5917" w:rsidP="00DD5917">
      <w:pPr>
        <w:pBdr>
          <w:top w:val="single" w:sz="12" w:space="1" w:color="auto"/>
          <w:left w:val="single" w:sz="12" w:space="4" w:color="auto"/>
          <w:bottom w:val="single" w:sz="12" w:space="1" w:color="auto"/>
          <w:right w:val="single" w:sz="12" w:space="4" w:color="auto"/>
        </w:pBdr>
      </w:pPr>
      <w:r w:rsidRPr="003C1BA7">
        <w:t xml:space="preserve">Indiquer si des moyens électroniques sont autorisés </w:t>
      </w:r>
      <w:r w:rsidRPr="00CE1608">
        <w:t>ou imposés</w:t>
      </w:r>
      <w:r w:rsidRPr="003C1BA7">
        <w:t xml:space="preserve"> pour l’échange de pièces écrites.</w:t>
      </w:r>
    </w:p>
    <w:p w:rsidR="00DD5917" w:rsidRPr="003C1BA7" w:rsidRDefault="00DD5917" w:rsidP="00DD5917">
      <w:pPr>
        <w:rPr>
          <w:i/>
        </w:rPr>
      </w:pPr>
      <w:r w:rsidRPr="003C1BA7">
        <w:rPr>
          <w:i/>
        </w:rPr>
        <w:t xml:space="preserve">Dans l’hypothèse où les moyens électroniques </w:t>
      </w:r>
      <w:r w:rsidRPr="00CE1608">
        <w:rPr>
          <w:i/>
        </w:rPr>
        <w:t xml:space="preserve">sont autorisés ou imposés, indiquer l’adresse de messagerie électronique </w:t>
      </w:r>
      <w:r>
        <w:rPr>
          <w:i/>
        </w:rPr>
        <w:t>du pouvoir adjudicateur.</w:t>
      </w:r>
      <w:r w:rsidRPr="00CE1608">
        <w:rPr>
          <w:i/>
        </w:rPr>
        <w:t xml:space="preserve"> Celle de l’adjudicataire est</w:t>
      </w:r>
      <w:r>
        <w:rPr>
          <w:i/>
        </w:rPr>
        <w:t xml:space="preserve"> </w:t>
      </w:r>
      <w:r w:rsidRPr="00CE1608">
        <w:rPr>
          <w:i/>
        </w:rPr>
        <w:t xml:space="preserve">demandée dès la </w:t>
      </w:r>
      <w:r>
        <w:rPr>
          <w:i/>
        </w:rPr>
        <w:t>conclus</w:t>
      </w:r>
      <w:r w:rsidRPr="00CE1608">
        <w:rPr>
          <w:i/>
        </w:rPr>
        <w:t>ion du marché.</w:t>
      </w:r>
    </w:p>
    <w:p w:rsidR="00DD5917" w:rsidRPr="00DD5917" w:rsidRDefault="00DD5917" w:rsidP="006B3928">
      <w:pPr>
        <w:pStyle w:val="Titre3"/>
      </w:pPr>
      <w:bookmarkStart w:id="29" w:name="_Toc503796631"/>
      <w:r w:rsidRPr="00DD5917">
        <w:t>A</w:t>
      </w:r>
      <w:r w:rsidR="00382ACF">
        <w:t>rticle</w:t>
      </w:r>
      <w:r w:rsidRPr="00DD5917">
        <w:t xml:space="preserve"> 11: </w:t>
      </w:r>
      <w:r w:rsidR="00382ACF">
        <w:t>f</w:t>
      </w:r>
      <w:r>
        <w:t>onctionnaire dirigeant</w:t>
      </w:r>
      <w:bookmarkEnd w:id="29"/>
    </w:p>
    <w:p w:rsidR="00DD5917" w:rsidRDefault="00DD5917" w:rsidP="00382ACF">
      <w:pPr>
        <w:spacing w:before="0" w:line="300" w:lineRule="atLeast"/>
      </w:pPr>
    </w:p>
    <w:p w:rsidR="00DD5917" w:rsidRPr="00CE1608" w:rsidRDefault="00DD5917" w:rsidP="00DD5917">
      <w:pPr>
        <w:numPr>
          <w:ilvl w:val="0"/>
          <w:numId w:val="7"/>
        </w:numPr>
        <w:pBdr>
          <w:top w:val="single" w:sz="12" w:space="1" w:color="auto"/>
          <w:left w:val="single" w:sz="12" w:space="1" w:color="auto"/>
          <w:bottom w:val="single" w:sz="12" w:space="1" w:color="auto"/>
          <w:right w:val="single" w:sz="12" w:space="1" w:color="auto"/>
        </w:pBdr>
        <w:spacing w:before="0" w:line="300" w:lineRule="atLeast"/>
      </w:pPr>
      <w:r>
        <w:t xml:space="preserve">Indiquer le nom, l'adresse et le n° de téléphone de la personne désignée. A défaut, cette indication </w:t>
      </w:r>
      <w:r w:rsidRPr="00CE1608">
        <w:t>figure au plus tard dans la notification à l’adjudicataire de l’approbation de son offre.</w:t>
      </w:r>
    </w:p>
    <w:p w:rsidR="00DD5917" w:rsidRPr="00113669" w:rsidRDefault="00DD5917" w:rsidP="00DD5917">
      <w:pPr>
        <w:rPr>
          <w:i/>
        </w:rPr>
      </w:pPr>
      <w:r w:rsidRPr="00113669">
        <w:rPr>
          <w:i/>
        </w:rPr>
        <w:t xml:space="preserve">Toute limite éventuelle des pouvoirs du fonctionnaire dirigeant appartenant au </w:t>
      </w:r>
      <w:r>
        <w:rPr>
          <w:i/>
        </w:rPr>
        <w:t xml:space="preserve">pouvoir adjudicateur </w:t>
      </w:r>
      <w:r w:rsidRPr="00113669">
        <w:rPr>
          <w:i/>
        </w:rPr>
        <w:t xml:space="preserve">doit être mentionnée au CSC ou dans la notification susvisée. Si le fonctionnaire dirigeant est étranger au </w:t>
      </w:r>
      <w:r>
        <w:rPr>
          <w:i/>
        </w:rPr>
        <w:t>pouvoir adjudicateur</w:t>
      </w:r>
      <w:r w:rsidRPr="00113669">
        <w:rPr>
          <w:i/>
        </w:rPr>
        <w:t>, la teneur de son mandat éventuel doit être précisée dans le CSC ou dans la notification du marché.</w:t>
      </w:r>
    </w:p>
    <w:p w:rsidR="0018723E" w:rsidRPr="006D5FD7" w:rsidRDefault="0018723E">
      <w:pPr>
        <w:spacing w:before="0" w:after="200" w:line="276" w:lineRule="auto"/>
        <w:jc w:val="left"/>
        <w:rPr>
          <w:rFonts w:cs="Arial"/>
          <w:szCs w:val="22"/>
        </w:rPr>
      </w:pPr>
    </w:p>
    <w:p w:rsidR="009C063D" w:rsidRPr="006D5FD7" w:rsidRDefault="009C063D" w:rsidP="009C063D">
      <w:pPr>
        <w:pStyle w:val="Titre3"/>
      </w:pPr>
      <w:bookmarkStart w:id="30" w:name="_Toc489525301"/>
      <w:bookmarkStart w:id="31" w:name="_Toc503796632"/>
      <w:r w:rsidRPr="006D5FD7">
        <w:t>A</w:t>
      </w:r>
      <w:r w:rsidR="00BC3844" w:rsidRPr="006D5FD7">
        <w:t>rticle</w:t>
      </w:r>
      <w:r w:rsidR="007F0C4F">
        <w:t xml:space="preserve"> 12/3: s</w:t>
      </w:r>
      <w:r w:rsidRPr="006D5FD7">
        <w:t>ous-traitance</w:t>
      </w:r>
      <w:bookmarkEnd w:id="30"/>
      <w:bookmarkEnd w:id="31"/>
    </w:p>
    <w:p w:rsidR="009C063D" w:rsidRPr="006D5FD7" w:rsidRDefault="009C063D" w:rsidP="009C063D">
      <w:pPr>
        <w:pBdr>
          <w:top w:val="single" w:sz="4" w:space="1" w:color="auto"/>
          <w:left w:val="single" w:sz="4" w:space="4" w:color="auto"/>
          <w:bottom w:val="single" w:sz="4" w:space="1" w:color="auto"/>
          <w:right w:val="single" w:sz="4" w:space="4" w:color="auto"/>
        </w:pBdr>
        <w:rPr>
          <w:i/>
          <w:szCs w:val="24"/>
        </w:rPr>
      </w:pPr>
      <w:r w:rsidRPr="006D5FD7">
        <w:rPr>
          <w:i/>
          <w:szCs w:val="22"/>
        </w:rPr>
        <w:t xml:space="preserve">Pour les marchés de travaux relevant d’une </w:t>
      </w:r>
      <w:r w:rsidRPr="006D5FD7">
        <w:rPr>
          <w:b/>
          <w:i/>
          <w:szCs w:val="22"/>
        </w:rPr>
        <w:t>catégorie</w:t>
      </w:r>
      <w:r w:rsidRPr="006D5FD7">
        <w:rPr>
          <w:i/>
          <w:szCs w:val="22"/>
        </w:rPr>
        <w:t xml:space="preserve"> agréation, la chaîne de sous-traitance est limitée à 3 niveaux : le sous-traitant direct de l’adjudicataire, le sous-</w:t>
      </w:r>
      <w:r w:rsidRPr="006D5FD7">
        <w:rPr>
          <w:i/>
          <w:szCs w:val="24"/>
        </w:rPr>
        <w:t>traitant de 2</w:t>
      </w:r>
      <w:r w:rsidRPr="006D5FD7">
        <w:rPr>
          <w:i/>
          <w:szCs w:val="24"/>
          <w:vertAlign w:val="superscript"/>
        </w:rPr>
        <w:t>ième</w:t>
      </w:r>
      <w:r w:rsidRPr="006D5FD7">
        <w:rPr>
          <w:i/>
          <w:szCs w:val="24"/>
        </w:rPr>
        <w:t xml:space="preserve"> niveau et le sous-traitant de 3</w:t>
      </w:r>
      <w:r w:rsidRPr="006D5FD7">
        <w:rPr>
          <w:i/>
          <w:szCs w:val="24"/>
          <w:vertAlign w:val="superscript"/>
        </w:rPr>
        <w:t>ième</w:t>
      </w:r>
      <w:r w:rsidRPr="006D5FD7">
        <w:rPr>
          <w:i/>
          <w:szCs w:val="24"/>
        </w:rPr>
        <w:t xml:space="preserve">  niveau.</w:t>
      </w:r>
    </w:p>
    <w:p w:rsidR="009C063D" w:rsidRPr="006D5FD7" w:rsidRDefault="009C063D" w:rsidP="009C063D">
      <w:pPr>
        <w:rPr>
          <w:i/>
          <w:szCs w:val="24"/>
        </w:rPr>
      </w:pPr>
      <w:r w:rsidRPr="006D5FD7">
        <w:rPr>
          <w:i/>
          <w:szCs w:val="24"/>
        </w:rPr>
        <w:t>« Le marché est limité à 3 niveaux de sous-traitance. »</w:t>
      </w:r>
    </w:p>
    <w:p w:rsidR="009C063D" w:rsidRPr="006D5FD7" w:rsidRDefault="009C063D" w:rsidP="009C063D">
      <w:pPr>
        <w:pBdr>
          <w:top w:val="single" w:sz="4" w:space="1" w:color="auto"/>
          <w:left w:val="single" w:sz="4" w:space="4" w:color="auto"/>
          <w:bottom w:val="single" w:sz="4" w:space="1" w:color="auto"/>
          <w:right w:val="single" w:sz="4" w:space="4" w:color="auto"/>
        </w:pBdr>
        <w:rPr>
          <w:i/>
          <w:szCs w:val="24"/>
        </w:rPr>
      </w:pPr>
      <w:r w:rsidRPr="006D5FD7">
        <w:rPr>
          <w:i/>
          <w:szCs w:val="24"/>
        </w:rPr>
        <w:t xml:space="preserve">Pour un marché de travaux relevant d’une </w:t>
      </w:r>
      <w:r w:rsidRPr="006D5FD7">
        <w:rPr>
          <w:b/>
          <w:i/>
          <w:szCs w:val="24"/>
        </w:rPr>
        <w:t>sous-catégorie</w:t>
      </w:r>
      <w:r w:rsidRPr="006D5FD7">
        <w:rPr>
          <w:i/>
          <w:szCs w:val="24"/>
        </w:rPr>
        <w:t xml:space="preserve"> d’agréation, la chaîne de sous-traitance ne peut comporter plus de 2 niveaux.</w:t>
      </w:r>
    </w:p>
    <w:p w:rsidR="009C063D" w:rsidRPr="006D5FD7" w:rsidRDefault="009C063D" w:rsidP="009C063D">
      <w:pPr>
        <w:rPr>
          <w:i/>
          <w:szCs w:val="24"/>
        </w:rPr>
      </w:pPr>
      <w:r w:rsidRPr="006D5FD7">
        <w:rPr>
          <w:i/>
          <w:szCs w:val="24"/>
        </w:rPr>
        <w:t>« Le marché est limité à 2 niveaux de sous-traitance. »</w:t>
      </w:r>
    </w:p>
    <w:p w:rsidR="009C063D" w:rsidRPr="006D5FD7" w:rsidRDefault="009C063D" w:rsidP="009C063D">
      <w:pPr>
        <w:rPr>
          <w:szCs w:val="22"/>
        </w:rPr>
      </w:pPr>
      <w:r w:rsidRPr="006D5FD7">
        <w:rPr>
          <w:szCs w:val="22"/>
        </w:rPr>
        <w:t>Le cas échéant, il est fait application de l’article 1798  du Code Civil relatif à l’action directe du sous-traitant.</w:t>
      </w:r>
    </w:p>
    <w:p w:rsidR="009C063D" w:rsidRDefault="009C063D">
      <w:pPr>
        <w:spacing w:before="0" w:after="200" w:line="276" w:lineRule="auto"/>
        <w:jc w:val="left"/>
        <w:rPr>
          <w:rFonts w:eastAsiaTheme="majorEastAsia" w:cs="Arial"/>
          <w:b/>
          <w:bCs/>
          <w:color w:val="000000" w:themeColor="text1"/>
          <w:szCs w:val="22"/>
        </w:rPr>
      </w:pPr>
    </w:p>
    <w:p w:rsidR="00E04197" w:rsidRDefault="00E04197">
      <w:pPr>
        <w:spacing w:before="0" w:after="200" w:line="276" w:lineRule="auto"/>
        <w:jc w:val="left"/>
        <w:rPr>
          <w:rFonts w:eastAsiaTheme="majorEastAsia" w:cstheme="majorBidi"/>
          <w:b/>
          <w:bCs/>
          <w:sz w:val="28"/>
        </w:rPr>
      </w:pPr>
      <w:r>
        <w:br w:type="page"/>
      </w:r>
    </w:p>
    <w:p w:rsidR="00DD5917" w:rsidRDefault="00DD5917" w:rsidP="006B3928">
      <w:pPr>
        <w:pStyle w:val="Titre3"/>
      </w:pPr>
      <w:bookmarkStart w:id="32" w:name="_Toc503796633"/>
      <w:r w:rsidRPr="00DD5917">
        <w:lastRenderedPageBreak/>
        <w:t>A</w:t>
      </w:r>
      <w:r w:rsidR="00382ACF">
        <w:t>rticle</w:t>
      </w:r>
      <w:r w:rsidRPr="00DD5917">
        <w:t xml:space="preserve"> 25:</w:t>
      </w:r>
      <w:r w:rsidR="00382ACF">
        <w:t xml:space="preserve"> m</w:t>
      </w:r>
      <w:r w:rsidRPr="00DD5917">
        <w:t xml:space="preserve">ontant </w:t>
      </w:r>
      <w:r>
        <w:t>du cautionnement</w:t>
      </w:r>
      <w:bookmarkEnd w:id="32"/>
    </w:p>
    <w:p w:rsidR="00DD5917" w:rsidRDefault="00DD5917" w:rsidP="00DD5917">
      <w:pPr>
        <w:pBdr>
          <w:top w:val="single" w:sz="12" w:space="1" w:color="auto"/>
          <w:left w:val="single" w:sz="12" w:space="4" w:color="auto"/>
          <w:bottom w:val="single" w:sz="12" w:space="1" w:color="auto"/>
          <w:right w:val="single" w:sz="12" w:space="4" w:color="auto"/>
        </w:pBdr>
        <w:spacing w:line="300" w:lineRule="atLeast"/>
      </w:pPr>
      <w:r>
        <w:t>Dans le cas où un cautionnement complémentaire est exigé, indiquer ici</w:t>
      </w:r>
    </w:p>
    <w:p w:rsidR="00DD5917" w:rsidRPr="00F00F50" w:rsidRDefault="00DD5917" w:rsidP="00DD5917">
      <w:pPr>
        <w:pStyle w:val="Puces2"/>
        <w:tabs>
          <w:tab w:val="clear" w:pos="284"/>
        </w:tabs>
      </w:pPr>
      <w:r w:rsidRPr="00F00F50">
        <w:t xml:space="preserve">soit </w:t>
      </w:r>
      <w:proofErr w:type="gramStart"/>
      <w:r w:rsidRPr="00F00F50">
        <w:t>les</w:t>
      </w:r>
      <w:proofErr w:type="gramEnd"/>
      <w:r w:rsidRPr="00F00F50">
        <w:t xml:space="preserve"> n° des postes concernés</w:t>
      </w:r>
    </w:p>
    <w:p w:rsidR="00DD5917" w:rsidRPr="00F00F50" w:rsidRDefault="00DD5917" w:rsidP="00DD5917">
      <w:pPr>
        <w:pStyle w:val="Puces2"/>
        <w:tabs>
          <w:tab w:val="clear" w:pos="284"/>
        </w:tabs>
      </w:pPr>
      <w:r w:rsidRPr="00F00F50">
        <w:t>soit que les postes sont listés en annexe du métré récapitulatif.</w:t>
      </w:r>
    </w:p>
    <w:p w:rsidR="00DD5917" w:rsidRPr="00F00F50" w:rsidRDefault="00DD5917" w:rsidP="00DD5917">
      <w:pPr>
        <w:pStyle w:val="Puces2"/>
        <w:numPr>
          <w:ilvl w:val="0"/>
          <w:numId w:val="0"/>
        </w:numPr>
        <w:tabs>
          <w:tab w:val="clear" w:pos="284"/>
        </w:tabs>
      </w:pPr>
    </w:p>
    <w:p w:rsidR="00DD5917" w:rsidRPr="00F00F50" w:rsidRDefault="00DD5917" w:rsidP="00DD5917">
      <w:pPr>
        <w:pStyle w:val="Puces2"/>
        <w:numPr>
          <w:ilvl w:val="0"/>
          <w:numId w:val="0"/>
        </w:numPr>
        <w:tabs>
          <w:tab w:val="clear" w:pos="284"/>
        </w:tabs>
      </w:pPr>
      <w:r w:rsidRPr="00F00F50">
        <w:t>Indiquer également</w:t>
      </w:r>
      <w:r>
        <w:t>:</w:t>
      </w:r>
    </w:p>
    <w:p w:rsidR="00DD5917" w:rsidRDefault="00DD5917" w:rsidP="00DD5917">
      <w:pPr>
        <w:pStyle w:val="Puces2"/>
        <w:numPr>
          <w:ilvl w:val="0"/>
          <w:numId w:val="0"/>
        </w:numPr>
      </w:pPr>
      <w:r>
        <w:t>Le montant du cautionnement complémentaire est égal à 10 % du montant total de ces postes.</w:t>
      </w:r>
    </w:p>
    <w:p w:rsidR="00DD5917" w:rsidRDefault="00DD5917" w:rsidP="00DD5917">
      <w:pPr>
        <w:pStyle w:val="Puces2"/>
        <w:numPr>
          <w:ilvl w:val="0"/>
          <w:numId w:val="0"/>
        </w:numPr>
        <w:pBdr>
          <w:top w:val="none" w:sz="0" w:space="0" w:color="auto"/>
          <w:left w:val="none" w:sz="0" w:space="0" w:color="auto"/>
          <w:bottom w:val="none" w:sz="0" w:space="0" w:color="auto"/>
          <w:right w:val="none" w:sz="0" w:space="0" w:color="auto"/>
        </w:pBdr>
        <w:rPr>
          <w:i/>
        </w:rPr>
      </w:pPr>
    </w:p>
    <w:p w:rsidR="00DD5917" w:rsidRDefault="00DD5917" w:rsidP="00DD5917">
      <w:pPr>
        <w:pStyle w:val="Puces2"/>
        <w:numPr>
          <w:ilvl w:val="0"/>
          <w:numId w:val="0"/>
        </w:numPr>
        <w:pBdr>
          <w:top w:val="none" w:sz="0" w:space="0" w:color="auto"/>
          <w:left w:val="none" w:sz="0" w:space="0" w:color="auto"/>
          <w:bottom w:val="none" w:sz="0" w:space="0" w:color="auto"/>
          <w:right w:val="none" w:sz="0" w:space="0" w:color="auto"/>
        </w:pBdr>
        <w:rPr>
          <w:i/>
        </w:rPr>
      </w:pPr>
      <w:r w:rsidRPr="005D326F">
        <w:rPr>
          <w:i/>
        </w:rPr>
        <w:t>Les postes soumis à cautionnement complémentaire sont ceux pour lesquels une réception technique a posteriori est prescrite.</w:t>
      </w:r>
    </w:p>
    <w:p w:rsidR="003C7EE5" w:rsidRDefault="003C7EE5" w:rsidP="003C7EE5">
      <w:pPr>
        <w:pStyle w:val="Puces2"/>
        <w:numPr>
          <w:ilvl w:val="0"/>
          <w:numId w:val="0"/>
        </w:numPr>
        <w:pBdr>
          <w:top w:val="none" w:sz="0" w:space="0" w:color="auto"/>
          <w:left w:val="none" w:sz="0" w:space="0" w:color="auto"/>
          <w:bottom w:val="none" w:sz="0" w:space="0" w:color="auto"/>
          <w:right w:val="none" w:sz="0" w:space="0" w:color="auto"/>
        </w:pBdr>
        <w:rPr>
          <w:i/>
        </w:rPr>
      </w:pPr>
    </w:p>
    <w:p w:rsidR="003C7EE5" w:rsidRPr="003C7EE5" w:rsidRDefault="003C7EE5" w:rsidP="003C7EE5">
      <w:pPr>
        <w:pStyle w:val="Puces2"/>
        <w:numPr>
          <w:ilvl w:val="0"/>
          <w:numId w:val="0"/>
        </w:numPr>
        <w:pBdr>
          <w:top w:val="none" w:sz="0" w:space="0" w:color="auto"/>
          <w:left w:val="none" w:sz="0" w:space="0" w:color="auto"/>
          <w:bottom w:val="none" w:sz="0" w:space="0" w:color="auto"/>
          <w:right w:val="none" w:sz="0" w:space="0" w:color="auto"/>
        </w:pBdr>
        <w:rPr>
          <w:i/>
        </w:rPr>
      </w:pPr>
      <w:r w:rsidRPr="003C7EE5">
        <w:rPr>
          <w:i/>
        </w:rPr>
        <w:t>Indiquer la liste des postes générés par le MAO. Ces postes doivent correspondre à ceux pour lesquels une réception technique a posteriori est nécessaire et dont le montant est suffisamment conséquent.</w:t>
      </w:r>
    </w:p>
    <w:p w:rsidR="003C7EE5" w:rsidRDefault="003C7EE5" w:rsidP="00DD5917">
      <w:pPr>
        <w:pStyle w:val="Puces2"/>
        <w:numPr>
          <w:ilvl w:val="0"/>
          <w:numId w:val="0"/>
        </w:numPr>
        <w:pBdr>
          <w:top w:val="none" w:sz="0" w:space="0" w:color="auto"/>
          <w:left w:val="none" w:sz="0" w:space="0" w:color="auto"/>
          <w:bottom w:val="none" w:sz="0" w:space="0" w:color="auto"/>
          <w:right w:val="none" w:sz="0" w:space="0" w:color="auto"/>
        </w:pBdr>
        <w:rPr>
          <w:i/>
        </w:rPr>
      </w:pPr>
    </w:p>
    <w:p w:rsidR="00DD5917" w:rsidRPr="000867FF" w:rsidRDefault="00DD5917" w:rsidP="00DD5917">
      <w:pPr>
        <w:pStyle w:val="Puces2"/>
        <w:numPr>
          <w:ilvl w:val="0"/>
          <w:numId w:val="0"/>
        </w:numPr>
        <w:pBdr>
          <w:top w:val="none" w:sz="0" w:space="0" w:color="auto"/>
          <w:left w:val="none" w:sz="0" w:space="0" w:color="auto"/>
          <w:bottom w:val="none" w:sz="0" w:space="0" w:color="auto"/>
          <w:right w:val="none" w:sz="0" w:space="0" w:color="auto"/>
        </w:pBdr>
        <w:rPr>
          <w:i/>
          <w:color w:val="FF0000"/>
        </w:rPr>
      </w:pPr>
      <w:r w:rsidRPr="000867FF">
        <w:rPr>
          <w:i/>
        </w:rPr>
        <w:t>Il n’est pas exigé de cautionnement pour les marchés dont le montant</w:t>
      </w:r>
      <w:r>
        <w:rPr>
          <w:i/>
        </w:rPr>
        <w:t xml:space="preserve"> est inférieur à 50 </w:t>
      </w:r>
      <w:r w:rsidRPr="000867FF">
        <w:rPr>
          <w:i/>
        </w:rPr>
        <w:t>000</w:t>
      </w:r>
      <w:r>
        <w:rPr>
          <w:i/>
        </w:rPr>
        <w:t xml:space="preserve"> </w:t>
      </w:r>
      <w:r w:rsidRPr="000867FF">
        <w:rPr>
          <w:i/>
        </w:rPr>
        <w:t>€ HTVA</w:t>
      </w:r>
      <w:r>
        <w:rPr>
          <w:i/>
        </w:rPr>
        <w:t>.</w:t>
      </w:r>
    </w:p>
    <w:p w:rsidR="00DD5917" w:rsidRDefault="00DD5917" w:rsidP="00DD5917">
      <w:pPr>
        <w:pStyle w:val="Corpsdetexte"/>
        <w:spacing w:line="300" w:lineRule="atLeast"/>
      </w:pPr>
    </w:p>
    <w:p w:rsidR="00DD5917" w:rsidRPr="00DD5917" w:rsidRDefault="00DD5917" w:rsidP="006B3928">
      <w:pPr>
        <w:pStyle w:val="Titre3"/>
      </w:pPr>
      <w:bookmarkStart w:id="33" w:name="_Toc503796634"/>
      <w:r w:rsidRPr="00DD5917">
        <w:t>A</w:t>
      </w:r>
      <w:r w:rsidR="00382ACF">
        <w:t>rticle</w:t>
      </w:r>
      <w:r w:rsidRPr="00DD5917">
        <w:t xml:space="preserve"> 34: </w:t>
      </w:r>
      <w:r w:rsidR="00382ACF">
        <w:t>conformité de l’exécution</w:t>
      </w:r>
      <w:r w:rsidRPr="00DD5917">
        <w:t xml:space="preserve"> - Système de gestion de la qualité</w:t>
      </w:r>
      <w:bookmarkEnd w:id="33"/>
    </w:p>
    <w:p w:rsidR="009308B2" w:rsidRDefault="009308B2" w:rsidP="009308B2">
      <w:pPr>
        <w:autoSpaceDE w:val="0"/>
        <w:autoSpaceDN w:val="0"/>
        <w:adjustRightInd w:val="0"/>
        <w:spacing w:before="0"/>
        <w:jc w:val="left"/>
        <w:rPr>
          <w:rFonts w:eastAsiaTheme="minorHAnsi" w:cs="Arial"/>
          <w:bCs/>
          <w:i/>
          <w:iCs/>
          <w:color w:val="000000"/>
          <w:szCs w:val="22"/>
          <w:lang w:val="fr-BE" w:eastAsia="en-US"/>
        </w:rPr>
      </w:pPr>
    </w:p>
    <w:p w:rsidR="00867D7D" w:rsidRDefault="009308B2" w:rsidP="00867D7D">
      <w:pPr>
        <w:pBdr>
          <w:top w:val="single" w:sz="4" w:space="1" w:color="auto"/>
          <w:left w:val="single" w:sz="4" w:space="4" w:color="auto"/>
          <w:bottom w:val="single" w:sz="4" w:space="1" w:color="auto"/>
          <w:right w:val="single" w:sz="4" w:space="4" w:color="auto"/>
        </w:pBdr>
        <w:autoSpaceDE w:val="0"/>
        <w:autoSpaceDN w:val="0"/>
        <w:adjustRightInd w:val="0"/>
        <w:spacing w:before="0"/>
        <w:jc w:val="left"/>
        <w:rPr>
          <w:rFonts w:eastAsiaTheme="minorHAnsi" w:cs="Arial"/>
          <w:bCs/>
          <w:i/>
          <w:iCs/>
          <w:color w:val="000000"/>
          <w:szCs w:val="22"/>
          <w:lang w:val="fr-BE" w:eastAsia="en-US"/>
        </w:rPr>
      </w:pPr>
      <w:r w:rsidRPr="009308B2">
        <w:rPr>
          <w:rFonts w:eastAsiaTheme="minorHAnsi" w:cs="Arial"/>
          <w:bCs/>
          <w:i/>
          <w:iCs/>
          <w:color w:val="000000"/>
          <w:szCs w:val="22"/>
          <w:lang w:val="fr-BE" w:eastAsia="en-US"/>
        </w:rPr>
        <w:t xml:space="preserve">Le document de référence QUALIROUTES-A-1 relatif à la mise en place d’un système de gestion de la qualité est d’application pour </w:t>
      </w:r>
      <w:r w:rsidR="00867D7D">
        <w:rPr>
          <w:rFonts w:eastAsiaTheme="minorHAnsi" w:cs="Arial"/>
          <w:bCs/>
          <w:i/>
          <w:iCs/>
          <w:color w:val="000000"/>
          <w:szCs w:val="22"/>
          <w:lang w:val="fr-BE" w:eastAsia="en-US"/>
        </w:rPr>
        <w:t>autant que les clauses techniques l'imposent</w:t>
      </w:r>
    </w:p>
    <w:p w:rsidR="00867D7D" w:rsidRDefault="00867D7D" w:rsidP="00867D7D">
      <w:pPr>
        <w:pBdr>
          <w:top w:val="single" w:sz="4" w:space="1" w:color="auto"/>
          <w:left w:val="single" w:sz="4" w:space="4" w:color="auto"/>
          <w:bottom w:val="single" w:sz="4" w:space="1" w:color="auto"/>
          <w:right w:val="single" w:sz="4" w:space="4" w:color="auto"/>
        </w:pBdr>
        <w:autoSpaceDE w:val="0"/>
        <w:autoSpaceDN w:val="0"/>
        <w:adjustRightInd w:val="0"/>
        <w:spacing w:before="0"/>
        <w:jc w:val="left"/>
        <w:rPr>
          <w:rFonts w:eastAsiaTheme="minorHAnsi" w:cs="Arial"/>
          <w:bCs/>
          <w:i/>
          <w:iCs/>
          <w:color w:val="000000"/>
          <w:szCs w:val="22"/>
          <w:lang w:val="fr-BE" w:eastAsia="en-US"/>
        </w:rPr>
      </w:pPr>
    </w:p>
    <w:p w:rsidR="00B53F38" w:rsidRPr="009308B2" w:rsidRDefault="00867D7D" w:rsidP="00867D7D">
      <w:pPr>
        <w:pBdr>
          <w:top w:val="single" w:sz="4" w:space="1" w:color="auto"/>
          <w:left w:val="single" w:sz="4" w:space="4" w:color="auto"/>
          <w:bottom w:val="single" w:sz="4" w:space="1" w:color="auto"/>
          <w:right w:val="single" w:sz="4" w:space="4" w:color="auto"/>
        </w:pBdr>
        <w:autoSpaceDE w:val="0"/>
        <w:autoSpaceDN w:val="0"/>
        <w:adjustRightInd w:val="0"/>
        <w:spacing w:before="0"/>
        <w:jc w:val="left"/>
        <w:rPr>
          <w:szCs w:val="22"/>
        </w:rPr>
      </w:pPr>
      <w:r>
        <w:rPr>
          <w:rFonts w:eastAsiaTheme="minorHAnsi" w:cs="Arial"/>
          <w:bCs/>
          <w:i/>
          <w:iCs/>
          <w:color w:val="000000"/>
          <w:szCs w:val="22"/>
          <w:lang w:val="fr-BE" w:eastAsia="en-US"/>
        </w:rPr>
        <w:t>L</w:t>
      </w:r>
      <w:r w:rsidR="00B53F38" w:rsidRPr="009308B2">
        <w:rPr>
          <w:szCs w:val="22"/>
        </w:rPr>
        <w:t>a première étape de ce plan est la fourniture par chaque soumissionnaire en même temps que son offre, du formulaire d'engagement (joint au présent CSC) à développer une démarche qualité. La fourniture de ce document, dûment complété par le soumissionnaire, est une condition de régularité de l'offre.</w:t>
      </w:r>
    </w:p>
    <w:p w:rsidR="009308B2" w:rsidRPr="009308B2" w:rsidRDefault="009308B2" w:rsidP="009308B2">
      <w:pPr>
        <w:pBdr>
          <w:top w:val="single" w:sz="4" w:space="1" w:color="auto"/>
          <w:left w:val="single" w:sz="4" w:space="4" w:color="auto"/>
          <w:bottom w:val="single" w:sz="4" w:space="1" w:color="auto"/>
          <w:right w:val="single" w:sz="4" w:space="4" w:color="auto"/>
        </w:pBdr>
        <w:autoSpaceDE w:val="0"/>
        <w:autoSpaceDN w:val="0"/>
        <w:adjustRightInd w:val="0"/>
        <w:spacing w:before="0"/>
        <w:jc w:val="left"/>
        <w:rPr>
          <w:rFonts w:eastAsiaTheme="minorHAnsi" w:cs="Arial"/>
          <w:bCs/>
          <w:i/>
          <w:iCs/>
          <w:color w:val="000000"/>
          <w:szCs w:val="22"/>
          <w:lang w:val="fr-BE" w:eastAsia="en-US"/>
        </w:rPr>
      </w:pPr>
    </w:p>
    <w:p w:rsidR="009308B2" w:rsidRPr="009308B2" w:rsidRDefault="009308B2" w:rsidP="009308B2">
      <w:pPr>
        <w:pBdr>
          <w:top w:val="single" w:sz="4" w:space="1" w:color="auto"/>
          <w:left w:val="single" w:sz="4" w:space="4" w:color="auto"/>
          <w:bottom w:val="single" w:sz="4" w:space="1" w:color="auto"/>
          <w:right w:val="single" w:sz="4" w:space="4" w:color="auto"/>
        </w:pBdr>
        <w:autoSpaceDE w:val="0"/>
        <w:autoSpaceDN w:val="0"/>
        <w:adjustRightInd w:val="0"/>
        <w:spacing w:before="0"/>
        <w:jc w:val="left"/>
        <w:rPr>
          <w:rFonts w:eastAsiaTheme="minorHAnsi" w:cs="Arial"/>
          <w:bCs/>
          <w:i/>
          <w:iCs/>
          <w:color w:val="000000"/>
          <w:szCs w:val="22"/>
          <w:lang w:val="fr-BE" w:eastAsia="en-US"/>
        </w:rPr>
      </w:pPr>
      <w:r w:rsidRPr="009308B2">
        <w:rPr>
          <w:rFonts w:eastAsiaTheme="minorHAnsi" w:cs="Arial"/>
          <w:bCs/>
          <w:i/>
          <w:iCs/>
          <w:color w:val="000000"/>
          <w:szCs w:val="22"/>
          <w:lang w:val="fr-BE" w:eastAsia="en-US"/>
        </w:rPr>
        <w:t xml:space="preserve">Ce document QUALIROUTES-A-1 et ses compléments éventuels (A-1/x) précisent: </w:t>
      </w:r>
    </w:p>
    <w:p w:rsidR="009308B2" w:rsidRPr="009308B2" w:rsidRDefault="009308B2" w:rsidP="009308B2">
      <w:pPr>
        <w:pBdr>
          <w:top w:val="single" w:sz="4" w:space="1" w:color="auto"/>
          <w:left w:val="single" w:sz="4" w:space="4" w:color="auto"/>
          <w:bottom w:val="single" w:sz="4" w:space="1" w:color="auto"/>
          <w:right w:val="single" w:sz="4" w:space="4" w:color="auto"/>
        </w:pBdr>
        <w:autoSpaceDE w:val="0"/>
        <w:autoSpaceDN w:val="0"/>
        <w:adjustRightInd w:val="0"/>
        <w:spacing w:before="0"/>
        <w:jc w:val="left"/>
        <w:rPr>
          <w:rFonts w:eastAsiaTheme="minorHAnsi" w:cs="Arial"/>
          <w:color w:val="000000"/>
          <w:szCs w:val="22"/>
          <w:lang w:val="fr-BE" w:eastAsia="en-US"/>
        </w:rPr>
      </w:pPr>
    </w:p>
    <w:p w:rsidR="009308B2" w:rsidRPr="009308B2" w:rsidRDefault="009308B2" w:rsidP="009308B2">
      <w:pPr>
        <w:pBdr>
          <w:top w:val="single" w:sz="4" w:space="1" w:color="auto"/>
          <w:left w:val="single" w:sz="4" w:space="4" w:color="auto"/>
          <w:bottom w:val="single" w:sz="4" w:space="1" w:color="auto"/>
          <w:right w:val="single" w:sz="4" w:space="4" w:color="auto"/>
        </w:pBdr>
        <w:autoSpaceDE w:val="0"/>
        <w:autoSpaceDN w:val="0"/>
        <w:adjustRightInd w:val="0"/>
        <w:spacing w:before="0"/>
        <w:jc w:val="left"/>
        <w:rPr>
          <w:rFonts w:eastAsiaTheme="minorHAnsi" w:cs="Arial"/>
          <w:color w:val="000000"/>
          <w:szCs w:val="22"/>
          <w:lang w:val="fr-BE" w:eastAsia="en-US"/>
        </w:rPr>
      </w:pPr>
      <w:r w:rsidRPr="009308B2">
        <w:rPr>
          <w:rFonts w:eastAsiaTheme="minorHAnsi" w:cs="Arial"/>
          <w:bCs/>
          <w:i/>
          <w:iCs/>
          <w:color w:val="000000"/>
          <w:szCs w:val="22"/>
          <w:lang w:val="fr-BE" w:eastAsia="en-US"/>
        </w:rPr>
        <w:t xml:space="preserve">- les dispositions spécifiques – plan qualité – que l’adjudicataire doit prévoir lors de la réalisation des travaux concernés </w:t>
      </w:r>
    </w:p>
    <w:p w:rsidR="009308B2" w:rsidRDefault="009308B2" w:rsidP="009308B2">
      <w:pPr>
        <w:pStyle w:val="Commentaires"/>
        <w:pBdr>
          <w:top w:val="single" w:sz="4" w:space="1" w:color="auto"/>
          <w:left w:val="single" w:sz="4" w:space="4" w:color="auto"/>
          <w:bottom w:val="single" w:sz="4" w:space="1" w:color="auto"/>
          <w:right w:val="single" w:sz="4" w:space="4" w:color="auto"/>
        </w:pBdr>
        <w:rPr>
          <w:rFonts w:eastAsiaTheme="minorHAnsi"/>
          <w:bCs/>
          <w:i w:val="0"/>
          <w:color w:val="000000"/>
          <w:szCs w:val="22"/>
          <w:lang w:val="fr-BE" w:eastAsia="en-US"/>
        </w:rPr>
      </w:pPr>
      <w:r w:rsidRPr="009308B2">
        <w:rPr>
          <w:rFonts w:eastAsiaTheme="minorHAnsi"/>
          <w:bCs/>
          <w:iCs/>
          <w:color w:val="000000"/>
          <w:szCs w:val="22"/>
          <w:lang w:val="fr-BE" w:eastAsia="en-US"/>
        </w:rPr>
        <w:t>- les modalités de fourniture (délais) et d’examen des documents</w:t>
      </w:r>
      <w:r w:rsidRPr="009308B2">
        <w:rPr>
          <w:rFonts w:eastAsiaTheme="minorHAnsi"/>
          <w:bCs/>
          <w:i w:val="0"/>
          <w:color w:val="000000"/>
          <w:szCs w:val="22"/>
          <w:lang w:val="fr-BE" w:eastAsia="en-US"/>
        </w:rPr>
        <w:t xml:space="preserve">. </w:t>
      </w:r>
    </w:p>
    <w:p w:rsidR="00B53F38" w:rsidRDefault="00B53F38">
      <w:pPr>
        <w:spacing w:before="0" w:after="200" w:line="276" w:lineRule="auto"/>
        <w:jc w:val="left"/>
        <w:rPr>
          <w:rFonts w:ascii="Arial Gras" w:eastAsiaTheme="majorEastAsia" w:hAnsi="Arial Gras" w:cs="Arial"/>
          <w:b/>
          <w:bCs/>
          <w:szCs w:val="28"/>
        </w:rPr>
      </w:pPr>
    </w:p>
    <w:p w:rsidR="00382ACF" w:rsidRPr="00AD2228" w:rsidRDefault="00382ACF" w:rsidP="006B3928">
      <w:pPr>
        <w:pStyle w:val="Titre3"/>
      </w:pPr>
      <w:bookmarkStart w:id="34" w:name="_Toc503796635"/>
      <w:r w:rsidRPr="00AD2228">
        <w:t>Article 35: plans, documents et objets établis par le pouvoir adjudicateur</w:t>
      </w:r>
      <w:bookmarkEnd w:id="34"/>
    </w:p>
    <w:p w:rsidR="00382ACF" w:rsidRDefault="00382ACF" w:rsidP="00382ACF">
      <w:pPr>
        <w:spacing w:before="0" w:line="300" w:lineRule="atLeast"/>
      </w:pPr>
    </w:p>
    <w:p w:rsidR="00382ACF" w:rsidRDefault="00382ACF" w:rsidP="00382ACF">
      <w:pPr>
        <w:numPr>
          <w:ilvl w:val="0"/>
          <w:numId w:val="9"/>
        </w:numPr>
        <w:pBdr>
          <w:top w:val="single" w:sz="12" w:space="1" w:color="auto"/>
          <w:left w:val="single" w:sz="12" w:space="1" w:color="auto"/>
          <w:bottom w:val="single" w:sz="12" w:space="1" w:color="auto"/>
          <w:right w:val="single" w:sz="12" w:space="1" w:color="auto"/>
        </w:pBdr>
        <w:spacing w:before="0" w:line="300" w:lineRule="atLeast"/>
      </w:pPr>
      <w:r>
        <w:t>Préciser les annexes qui sont jointes au cahier spécial des charges.</w:t>
      </w:r>
    </w:p>
    <w:p w:rsidR="00382ACF" w:rsidRDefault="00382ACF" w:rsidP="00382ACF">
      <w:pPr>
        <w:numPr>
          <w:ilvl w:val="0"/>
          <w:numId w:val="9"/>
        </w:numPr>
        <w:pBdr>
          <w:top w:val="single" w:sz="12" w:space="1" w:color="auto"/>
          <w:left w:val="single" w:sz="12" w:space="1" w:color="auto"/>
          <w:bottom w:val="single" w:sz="12" w:space="1" w:color="auto"/>
          <w:right w:val="single" w:sz="12" w:space="1" w:color="auto"/>
        </w:pBdr>
        <w:spacing w:before="0" w:line="300" w:lineRule="atLeast"/>
      </w:pPr>
      <w:r>
        <w:t>Préciser les numéros et désignations des plans fournis.</w:t>
      </w:r>
    </w:p>
    <w:p w:rsidR="00382ACF" w:rsidRDefault="00382ACF" w:rsidP="00382ACF">
      <w:pPr>
        <w:numPr>
          <w:ilvl w:val="0"/>
          <w:numId w:val="10"/>
        </w:numPr>
        <w:pBdr>
          <w:top w:val="single" w:sz="12" w:space="1" w:color="auto"/>
          <w:left w:val="single" w:sz="12" w:space="1" w:color="auto"/>
          <w:bottom w:val="single" w:sz="12" w:space="1" w:color="auto"/>
          <w:right w:val="single" w:sz="12" w:space="1" w:color="auto"/>
        </w:pBdr>
        <w:spacing w:before="0" w:line="300" w:lineRule="atLeast"/>
      </w:pPr>
      <w:r>
        <w:t>Préciser le cas échéant les lieux, dates et heures pour la signature par l'adjudicataire des plans, documents et objets.</w:t>
      </w:r>
    </w:p>
    <w:p w:rsidR="00382ACF" w:rsidRDefault="00382ACF" w:rsidP="00382ACF">
      <w:pPr>
        <w:numPr>
          <w:ilvl w:val="0"/>
          <w:numId w:val="10"/>
        </w:numPr>
        <w:pBdr>
          <w:top w:val="single" w:sz="12" w:space="1" w:color="auto"/>
          <w:left w:val="single" w:sz="12" w:space="1" w:color="auto"/>
          <w:bottom w:val="single" w:sz="12" w:space="1" w:color="auto"/>
          <w:right w:val="single" w:sz="12" w:space="1" w:color="auto"/>
        </w:pBdr>
        <w:spacing w:before="0" w:line="300" w:lineRule="atLeast"/>
      </w:pPr>
      <w:r>
        <w:t>Préciser le cas échéant les documents et objets qui sont mis à la disposition de l'adjudicataire pour faciliter son travail. Si des essais de sol ont été effectués, en indiquer une synthèse et préciser auprès de qui le rapport complet peut être consulté.</w:t>
      </w:r>
    </w:p>
    <w:p w:rsidR="00382ACF" w:rsidRDefault="00382ACF" w:rsidP="00382ACF">
      <w:pPr>
        <w:rPr>
          <w:i/>
        </w:rPr>
      </w:pPr>
      <w:r>
        <w:rPr>
          <w:i/>
        </w:rPr>
        <w:t>Au point 1, on peut citer notamment:</w:t>
      </w:r>
    </w:p>
    <w:p w:rsidR="00382ACF" w:rsidRDefault="00382ACF" w:rsidP="00382ACF">
      <w:pPr>
        <w:numPr>
          <w:ilvl w:val="0"/>
          <w:numId w:val="11"/>
        </w:numPr>
        <w:spacing w:before="0" w:line="312" w:lineRule="exact"/>
        <w:rPr>
          <w:i/>
        </w:rPr>
      </w:pPr>
      <w:r>
        <w:rPr>
          <w:i/>
        </w:rPr>
        <w:t>un plan de situation des câbles et canalisations situés dans la zone des travaux (voir à ce sujet le point relatif à l’article 79 ci-après et le document de référence QUALIROUTES-A-5)</w:t>
      </w:r>
    </w:p>
    <w:p w:rsidR="00382ACF" w:rsidRDefault="00382ACF" w:rsidP="00382ACF">
      <w:pPr>
        <w:numPr>
          <w:ilvl w:val="0"/>
          <w:numId w:val="11"/>
        </w:numPr>
        <w:spacing w:before="0" w:line="312" w:lineRule="exact"/>
        <w:rPr>
          <w:i/>
        </w:rPr>
      </w:pPr>
      <w:r>
        <w:rPr>
          <w:i/>
        </w:rPr>
        <w:lastRenderedPageBreak/>
        <w:t>le tableau du document de référence QUALIROUTES-A-8 reprenant la nature et la quantité des matériaux provenant des démolitions, si ce tableau n’est pas repris sur un plan terrier</w:t>
      </w:r>
    </w:p>
    <w:p w:rsidR="00382ACF" w:rsidRDefault="00382ACF" w:rsidP="00382ACF">
      <w:pPr>
        <w:numPr>
          <w:ilvl w:val="0"/>
          <w:numId w:val="11"/>
        </w:numPr>
        <w:spacing w:before="0" w:line="312" w:lineRule="exact"/>
        <w:rPr>
          <w:i/>
        </w:rPr>
      </w:pPr>
      <w:r>
        <w:rPr>
          <w:i/>
        </w:rPr>
        <w:t>le plan de sécurité et de santé qui contient le modèle de formulaire à annexer à l’offre.</w:t>
      </w:r>
    </w:p>
    <w:p w:rsidR="00382ACF" w:rsidRDefault="00382ACF" w:rsidP="00382ACF">
      <w:pPr>
        <w:spacing w:before="0" w:line="312" w:lineRule="exact"/>
        <w:rPr>
          <w:i/>
        </w:rPr>
      </w:pPr>
    </w:p>
    <w:p w:rsidR="00382ACF" w:rsidRDefault="007F0C4F" w:rsidP="006B3928">
      <w:pPr>
        <w:pStyle w:val="Titre3"/>
      </w:pPr>
      <w:bookmarkStart w:id="35" w:name="_Toc503796636"/>
      <w:r>
        <w:t>Article 36: p</w:t>
      </w:r>
      <w:r w:rsidR="00382ACF">
        <w:t>lans de détail et d'exécution établis par l’adjudicataire</w:t>
      </w:r>
      <w:bookmarkEnd w:id="35"/>
    </w:p>
    <w:p w:rsidR="00382ACF" w:rsidRPr="003F0124" w:rsidRDefault="00382ACF" w:rsidP="00B53F38">
      <w:pPr>
        <w:pBdr>
          <w:top w:val="single" w:sz="12" w:space="1" w:color="auto"/>
          <w:left w:val="single" w:sz="12" w:space="4" w:color="auto"/>
          <w:bottom w:val="single" w:sz="12" w:space="1" w:color="auto"/>
          <w:right w:val="single" w:sz="12" w:space="8" w:color="auto"/>
        </w:pBdr>
        <w:spacing w:line="300" w:lineRule="atLeast"/>
      </w:pPr>
      <w:r w:rsidRPr="003F0124">
        <w:t>Reproduire le texte suivant</w:t>
      </w:r>
      <w:r>
        <w:t>:</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rPr>
          <w:bCs/>
          <w:szCs w:val="24"/>
        </w:rPr>
      </w:pPr>
      <w:r w:rsidRPr="003F0124">
        <w:rPr>
          <w:szCs w:val="24"/>
        </w:rPr>
        <w:t xml:space="preserve">L'adjudicataire fournit au fonctionnaire dirigeant le planning des travaux, </w:t>
      </w:r>
      <w:r w:rsidRPr="003F0124">
        <w:rPr>
          <w:bCs/>
          <w:szCs w:val="24"/>
        </w:rPr>
        <w:t>dans les quinze</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rPr>
          <w:szCs w:val="24"/>
        </w:rPr>
      </w:pPr>
      <w:proofErr w:type="gramStart"/>
      <w:r w:rsidRPr="003F0124">
        <w:rPr>
          <w:bCs/>
          <w:szCs w:val="24"/>
        </w:rPr>
        <w:t>jours</w:t>
      </w:r>
      <w:proofErr w:type="gramEnd"/>
      <w:r w:rsidRPr="003F0124">
        <w:rPr>
          <w:bCs/>
          <w:szCs w:val="24"/>
        </w:rPr>
        <w:t xml:space="preserve"> de calendrier qui suivent la notification de l'approbation de son offre</w:t>
      </w:r>
      <w:r w:rsidRPr="003F0124">
        <w:rPr>
          <w:szCs w:val="24"/>
        </w:rPr>
        <w:t xml:space="preserve">. </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rPr>
          <w:szCs w:val="24"/>
        </w:rPr>
      </w:pPr>
      <w:r>
        <w:rPr>
          <w:szCs w:val="24"/>
        </w:rPr>
        <w:t>Ce planning est</w:t>
      </w:r>
      <w:r w:rsidR="003C7EE5">
        <w:rPr>
          <w:szCs w:val="24"/>
        </w:rPr>
        <w:t xml:space="preserve"> fourni sous la forme GANT</w:t>
      </w:r>
      <w:r w:rsidRPr="003F0124">
        <w:rPr>
          <w:szCs w:val="24"/>
        </w:rPr>
        <w:t>T.</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rPr>
          <w:szCs w:val="24"/>
        </w:rPr>
      </w:pPr>
      <w:r w:rsidRPr="003F0124">
        <w:rPr>
          <w:szCs w:val="24"/>
        </w:rPr>
        <w:t>Ce planning doit comporter</w:t>
      </w:r>
      <w:r>
        <w:rPr>
          <w:szCs w:val="24"/>
        </w:rPr>
        <w:t>:</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ind w:left="142" w:hanging="142"/>
        <w:rPr>
          <w:szCs w:val="24"/>
        </w:rPr>
      </w:pPr>
      <w:r w:rsidRPr="003F0124">
        <w:rPr>
          <w:szCs w:val="24"/>
        </w:rPr>
        <w:t>- la durée de chaque activité</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ind w:left="142" w:hanging="142"/>
        <w:rPr>
          <w:szCs w:val="24"/>
        </w:rPr>
      </w:pPr>
      <w:r w:rsidRPr="003F0124">
        <w:rPr>
          <w:szCs w:val="24"/>
        </w:rPr>
        <w:t>- la durée totale de chaque phase et de l'entreprise pour aboutir à l'achèvement de ceux-ci dans les délais prévus</w:t>
      </w:r>
      <w:r>
        <w:rPr>
          <w:szCs w:val="24"/>
        </w:rPr>
        <w:t>;</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ind w:left="142" w:hanging="142"/>
        <w:rPr>
          <w:szCs w:val="24"/>
        </w:rPr>
      </w:pPr>
      <w:r w:rsidRPr="003F0124">
        <w:rPr>
          <w:szCs w:val="24"/>
        </w:rPr>
        <w:t>- les postes du métré nécessitant des fournitures dont le délai de livraison ou de réception est long et/ou a une importance en terme de planning</w:t>
      </w:r>
      <w:r>
        <w:rPr>
          <w:szCs w:val="24"/>
        </w:rPr>
        <w:t>;</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ind w:left="142" w:hanging="142"/>
        <w:rPr>
          <w:szCs w:val="24"/>
        </w:rPr>
      </w:pPr>
      <w:r w:rsidRPr="003F0124">
        <w:rPr>
          <w:szCs w:val="24"/>
        </w:rPr>
        <w:t>- toutes les activités se trouvant sur le chemin critique</w:t>
      </w:r>
      <w:r>
        <w:rPr>
          <w:szCs w:val="24"/>
        </w:rPr>
        <w:t>;</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ind w:left="142" w:hanging="142"/>
        <w:rPr>
          <w:szCs w:val="24"/>
        </w:rPr>
      </w:pPr>
      <w:r w:rsidRPr="003F0124">
        <w:rPr>
          <w:szCs w:val="24"/>
        </w:rPr>
        <w:t>- toutes les phases des travaux (telles que prévues au marché) et la signalisation s’y rapportant.</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rPr>
          <w:szCs w:val="24"/>
        </w:rPr>
      </w:pPr>
      <w:r w:rsidRPr="003F0124">
        <w:rPr>
          <w:szCs w:val="24"/>
        </w:rPr>
        <w:t>Ce planning fait apparaître clairement les délais partiels nécessaires pour l'exécution des</w:t>
      </w:r>
      <w:r>
        <w:rPr>
          <w:szCs w:val="24"/>
        </w:rPr>
        <w:t xml:space="preserve"> </w:t>
      </w:r>
      <w:r w:rsidRPr="003F0124">
        <w:rPr>
          <w:szCs w:val="24"/>
        </w:rPr>
        <w:t>diverses phases de l'entreprise et ce, en fonction des modifications de la circulation tant</w:t>
      </w:r>
      <w:r>
        <w:rPr>
          <w:szCs w:val="24"/>
        </w:rPr>
        <w:t xml:space="preserve"> </w:t>
      </w:r>
      <w:r w:rsidRPr="003F0124">
        <w:rPr>
          <w:szCs w:val="24"/>
        </w:rPr>
        <w:t xml:space="preserve">routière que fluviale. </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rPr>
          <w:szCs w:val="24"/>
        </w:rPr>
      </w:pPr>
      <w:r w:rsidRPr="003F0124">
        <w:rPr>
          <w:szCs w:val="24"/>
        </w:rPr>
        <w:t xml:space="preserve">Le planning comporte des repères calendrier. Ceux-ci doivent tenir compte des périodes </w:t>
      </w:r>
      <w:r>
        <w:rPr>
          <w:szCs w:val="24"/>
        </w:rPr>
        <w:t>e</w:t>
      </w:r>
      <w:r w:rsidRPr="003F0124">
        <w:rPr>
          <w:szCs w:val="24"/>
        </w:rPr>
        <w:t>ffectives de travail intégrant les jours fériés légaux.</w:t>
      </w:r>
    </w:p>
    <w:p w:rsidR="00382ACF" w:rsidRPr="003F0124" w:rsidRDefault="00382ACF" w:rsidP="00B53F38">
      <w:pPr>
        <w:pBdr>
          <w:top w:val="single" w:sz="12" w:space="1" w:color="auto"/>
          <w:left w:val="single" w:sz="12" w:space="4" w:color="auto"/>
          <w:bottom w:val="single" w:sz="12" w:space="1" w:color="auto"/>
          <w:right w:val="single" w:sz="12" w:space="8" w:color="auto"/>
        </w:pBdr>
        <w:autoSpaceDE w:val="0"/>
        <w:autoSpaceDN w:val="0"/>
        <w:rPr>
          <w:szCs w:val="24"/>
        </w:rPr>
      </w:pPr>
      <w:r w:rsidRPr="003F0124">
        <w:rPr>
          <w:szCs w:val="24"/>
        </w:rPr>
        <w:t>Ce planning est présenté pour avis au fonctionnaire dirigeant.</w:t>
      </w:r>
    </w:p>
    <w:p w:rsidR="00382ACF" w:rsidRPr="003F0124" w:rsidRDefault="00382ACF" w:rsidP="00382ACF">
      <w:pPr>
        <w:pBdr>
          <w:top w:val="single" w:sz="12" w:space="1" w:color="auto"/>
          <w:left w:val="single" w:sz="12" w:space="4" w:color="auto"/>
          <w:bottom w:val="single" w:sz="12" w:space="1" w:color="auto"/>
          <w:right w:val="single" w:sz="12" w:space="4" w:color="auto"/>
        </w:pBdr>
        <w:autoSpaceDE w:val="0"/>
        <w:autoSpaceDN w:val="0"/>
        <w:rPr>
          <w:szCs w:val="24"/>
        </w:rPr>
      </w:pPr>
      <w:r w:rsidRPr="003F0124">
        <w:rPr>
          <w:szCs w:val="24"/>
        </w:rPr>
        <w:t>Ce planning peut faire l'objet de modifications.</w:t>
      </w:r>
      <w:r>
        <w:rPr>
          <w:szCs w:val="24"/>
        </w:rPr>
        <w:t xml:space="preserve"> </w:t>
      </w:r>
      <w:r w:rsidRPr="003F0124">
        <w:rPr>
          <w:szCs w:val="24"/>
        </w:rPr>
        <w:t>Il est mis à jour par l'entrepreneur mensuellement ou en fonction des besoins.</w:t>
      </w:r>
    </w:p>
    <w:p w:rsidR="00382ACF" w:rsidRDefault="00382ACF">
      <w:pPr>
        <w:spacing w:before="0" w:after="200" w:line="276" w:lineRule="auto"/>
        <w:jc w:val="left"/>
        <w:rPr>
          <w:rFonts w:cs="Arial"/>
          <w:sz w:val="24"/>
        </w:rPr>
      </w:pPr>
    </w:p>
    <w:p w:rsidR="00382ACF" w:rsidRPr="00382ACF" w:rsidRDefault="00382ACF" w:rsidP="006B3928">
      <w:pPr>
        <w:pStyle w:val="Titre3"/>
      </w:pPr>
      <w:bookmarkStart w:id="36" w:name="_Toc503796637"/>
      <w:r>
        <w:t>A</w:t>
      </w:r>
      <w:r w:rsidRPr="006C59B8">
        <w:t>rticle 38/7</w:t>
      </w:r>
      <w:r>
        <w:t>: formules de révision</w:t>
      </w:r>
      <w:bookmarkEnd w:id="36"/>
    </w:p>
    <w:p w:rsidR="00382ACF" w:rsidRDefault="00382ACF" w:rsidP="00382ACF">
      <w:pPr>
        <w:pBdr>
          <w:top w:val="single" w:sz="12" w:space="1" w:color="auto"/>
          <w:left w:val="single" w:sz="12" w:space="0" w:color="auto"/>
          <w:bottom w:val="single" w:sz="12" w:space="1" w:color="auto"/>
          <w:right w:val="single" w:sz="12" w:space="1" w:color="auto"/>
        </w:pBdr>
        <w:spacing w:line="300" w:lineRule="atLeast"/>
      </w:pPr>
      <w:r>
        <w:t>Indiquer la ou les formules de révision applicables au marché, ainsi que les valeurs des paramètres.</w:t>
      </w:r>
    </w:p>
    <w:p w:rsidR="003220E3" w:rsidRDefault="003220E3" w:rsidP="003220E3">
      <w:pPr>
        <w:pStyle w:val="Corpsdetexte"/>
        <w:spacing w:line="300" w:lineRule="atLeast"/>
      </w:pPr>
      <w:bookmarkStart w:id="37" w:name="_Toc489525314"/>
    </w:p>
    <w:p w:rsidR="003220E3" w:rsidRPr="00AD2228" w:rsidRDefault="003220E3" w:rsidP="003220E3">
      <w:pPr>
        <w:pStyle w:val="Corpsdetexte"/>
        <w:spacing w:line="300" w:lineRule="atLeast"/>
      </w:pPr>
      <w:r w:rsidRPr="00AD2228">
        <w:t xml:space="preserve">Les formules de révision à utiliser doivent être celles générées par </w:t>
      </w:r>
      <w:r>
        <w:t>le</w:t>
      </w:r>
      <w:r w:rsidRPr="00AD2228">
        <w:t xml:space="preserve"> MAO</w:t>
      </w:r>
      <w:r>
        <w:t xml:space="preserve"> e</w:t>
      </w:r>
      <w:r w:rsidRPr="00AD2228">
        <w:t>n adaptant la limite des termes simplifiés afin de faire apparaître les indices TP significatifs.</w:t>
      </w:r>
    </w:p>
    <w:p w:rsidR="009C063D" w:rsidRPr="009C063D" w:rsidRDefault="009C063D" w:rsidP="009C063D">
      <w:pPr>
        <w:pStyle w:val="Titre3"/>
      </w:pPr>
      <w:bookmarkStart w:id="38" w:name="_Toc503796638"/>
      <w:r w:rsidRPr="00E24EF6">
        <w:t>A</w:t>
      </w:r>
      <w:r w:rsidR="00BC3844">
        <w:t>rticle</w:t>
      </w:r>
      <w:r w:rsidR="007F0C4F">
        <w:t xml:space="preserve"> 42 §1: v</w:t>
      </w:r>
      <w:r w:rsidRPr="00E24EF6">
        <w:t>érification des produits</w:t>
      </w:r>
      <w:bookmarkEnd w:id="37"/>
      <w:bookmarkEnd w:id="38"/>
    </w:p>
    <w:p w:rsidR="009C063D" w:rsidRPr="009C063D" w:rsidRDefault="009C063D" w:rsidP="009C063D">
      <w:pPr>
        <w:pBdr>
          <w:top w:val="single" w:sz="12" w:space="1" w:color="auto"/>
          <w:left w:val="single" w:sz="12" w:space="4" w:color="auto"/>
          <w:bottom w:val="single" w:sz="12" w:space="1" w:color="auto"/>
          <w:right w:val="single" w:sz="12" w:space="4" w:color="auto"/>
        </w:pBdr>
      </w:pPr>
      <w:r w:rsidRPr="009C063D">
        <w:t>Le cas échéant, indiquer la quantité des produits qui sont détruits, à la suite des vérifications opérées.</w:t>
      </w:r>
    </w:p>
    <w:p w:rsidR="00382ACF" w:rsidRPr="00382ACF" w:rsidRDefault="00382ACF" w:rsidP="006B3928">
      <w:pPr>
        <w:pStyle w:val="Titre3"/>
      </w:pPr>
      <w:bookmarkStart w:id="39" w:name="_Toc503796639"/>
      <w:r w:rsidRPr="00382ACF">
        <w:lastRenderedPageBreak/>
        <w:t xml:space="preserve">Article 45: </w:t>
      </w:r>
      <w:r w:rsidR="00B53F38">
        <w:t>p</w:t>
      </w:r>
      <w:r w:rsidRPr="00382ACF">
        <w:t>énalités</w:t>
      </w:r>
      <w:bookmarkEnd w:id="39"/>
    </w:p>
    <w:p w:rsidR="003220E3" w:rsidRDefault="003220E3" w:rsidP="003220E3">
      <w:pPr>
        <w:pBdr>
          <w:top w:val="single" w:sz="4" w:space="1" w:color="auto"/>
          <w:left w:val="single" w:sz="4" w:space="4" w:color="auto"/>
          <w:bottom w:val="single" w:sz="4" w:space="1" w:color="auto"/>
          <w:right w:val="single" w:sz="4" w:space="4" w:color="auto"/>
        </w:pBdr>
        <w:autoSpaceDE w:val="0"/>
        <w:autoSpaceDN w:val="0"/>
        <w:rPr>
          <w:szCs w:val="24"/>
        </w:rPr>
      </w:pPr>
      <w:r>
        <w:rPr>
          <w:szCs w:val="24"/>
        </w:rPr>
        <w:t>Indiquer ici les pénalités spécifiques que vous voulez rendre applicable en cours d'exécution de marché:</w:t>
      </w:r>
    </w:p>
    <w:p w:rsidR="003220E3" w:rsidRDefault="00382ACF" w:rsidP="003220E3">
      <w:pPr>
        <w:pBdr>
          <w:top w:val="single" w:sz="4" w:space="1" w:color="auto"/>
          <w:left w:val="single" w:sz="4" w:space="4" w:color="auto"/>
          <w:bottom w:val="single" w:sz="4" w:space="1" w:color="auto"/>
          <w:right w:val="single" w:sz="4" w:space="4" w:color="auto"/>
        </w:pBdr>
        <w:autoSpaceDE w:val="0"/>
        <w:autoSpaceDN w:val="0"/>
        <w:ind w:firstLine="708"/>
      </w:pPr>
      <w:r w:rsidRPr="003220E3">
        <w:t xml:space="preserve">En cas de non-conformité constatée en matière de mise en œuvre des systèmes qualité pour les travaux concernés, une pénalité spéciale de 500 € est appliquée. </w:t>
      </w:r>
    </w:p>
    <w:p w:rsidR="003220E3" w:rsidRPr="00167454" w:rsidRDefault="003220E3" w:rsidP="003220E3">
      <w:pPr>
        <w:pBdr>
          <w:top w:val="single" w:sz="4" w:space="1" w:color="auto"/>
          <w:left w:val="single" w:sz="4" w:space="4" w:color="auto"/>
          <w:bottom w:val="single" w:sz="4" w:space="1" w:color="auto"/>
          <w:right w:val="single" w:sz="4" w:space="4" w:color="auto"/>
        </w:pBdr>
        <w:autoSpaceDE w:val="0"/>
        <w:autoSpaceDN w:val="0"/>
        <w:ind w:firstLine="708"/>
      </w:pPr>
      <w:r>
        <w:t>Si le délai d'</w:t>
      </w:r>
      <w:r w:rsidR="009308B2">
        <w:t>exécution</w:t>
      </w:r>
      <w:r>
        <w:t xml:space="preserve"> constitue un critère d'attribution, une pénalité spécifique de X€/jour de dépassement au délai initialement prévu sera appliquée.</w:t>
      </w:r>
    </w:p>
    <w:p w:rsidR="00057A95" w:rsidRDefault="00057A95" w:rsidP="00057A95">
      <w:pPr>
        <w:pStyle w:val="Corpsdetexte"/>
        <w:spacing w:line="300" w:lineRule="atLeast"/>
      </w:pPr>
    </w:p>
    <w:p w:rsidR="00057A95" w:rsidRPr="00057A95" w:rsidRDefault="00057A95" w:rsidP="00057A95">
      <w:pPr>
        <w:pStyle w:val="Corpsdetexte"/>
        <w:spacing w:line="300" w:lineRule="atLeast"/>
      </w:pPr>
      <w:r w:rsidRPr="00057A95">
        <w:t xml:space="preserve">Il est rappelé que CCT </w:t>
      </w:r>
      <w:proofErr w:type="spellStart"/>
      <w:r w:rsidRPr="00057A95">
        <w:t>Qualiroutes</w:t>
      </w:r>
      <w:proofErr w:type="spellEnd"/>
      <w:r w:rsidRPr="00057A95">
        <w:t xml:space="preserve"> prévoit déjà une pénalité pour la tenue et la collecte des bons d'évacuation.</w:t>
      </w:r>
    </w:p>
    <w:p w:rsidR="00382ACF" w:rsidRDefault="00382ACF" w:rsidP="006B3928">
      <w:pPr>
        <w:pStyle w:val="Titre3"/>
      </w:pPr>
      <w:bookmarkStart w:id="40" w:name="_Toc503796640"/>
      <w:r>
        <w:t>A</w:t>
      </w:r>
      <w:r w:rsidR="00B53F38">
        <w:t>rticle 76: d</w:t>
      </w:r>
      <w:r>
        <w:t>élais d'exécution</w:t>
      </w:r>
      <w:bookmarkEnd w:id="40"/>
    </w:p>
    <w:p w:rsidR="00382ACF" w:rsidRDefault="00382ACF" w:rsidP="00382ACF">
      <w:pPr>
        <w:spacing w:line="300" w:lineRule="atLeast"/>
      </w:pPr>
    </w:p>
    <w:tbl>
      <w:tblPr>
        <w:tblW w:w="0" w:type="auto"/>
        <w:tblLayout w:type="fixed"/>
        <w:tblCellMar>
          <w:left w:w="70" w:type="dxa"/>
          <w:right w:w="70" w:type="dxa"/>
        </w:tblCellMar>
        <w:tblLook w:val="0000"/>
      </w:tblPr>
      <w:tblGrid>
        <w:gridCol w:w="3331"/>
        <w:gridCol w:w="6095"/>
      </w:tblGrid>
      <w:tr w:rsidR="00382ACF" w:rsidTr="00057A95">
        <w:trPr>
          <w:cantSplit/>
          <w:trHeight w:val="1303"/>
        </w:trPr>
        <w:tc>
          <w:tcPr>
            <w:tcW w:w="3331" w:type="dxa"/>
          </w:tcPr>
          <w:p w:rsidR="00382ACF" w:rsidRDefault="00382ACF" w:rsidP="00382ACF">
            <w:pPr>
              <w:numPr>
                <w:ilvl w:val="0"/>
                <w:numId w:val="13"/>
              </w:numPr>
              <w:spacing w:before="0" w:line="300" w:lineRule="atLeast"/>
            </w:pPr>
            <w:r>
              <w:t>Le délai d'exécution est fixé à</w:t>
            </w:r>
          </w:p>
        </w:tc>
        <w:tc>
          <w:tcPr>
            <w:tcW w:w="6095" w:type="dxa"/>
            <w:tcBorders>
              <w:top w:val="single" w:sz="12" w:space="0" w:color="auto"/>
              <w:left w:val="single" w:sz="12" w:space="0" w:color="auto"/>
              <w:bottom w:val="single" w:sz="12" w:space="0" w:color="auto"/>
              <w:right w:val="single" w:sz="12" w:space="0" w:color="auto"/>
            </w:tcBorders>
          </w:tcPr>
          <w:p w:rsidR="00057A95" w:rsidRDefault="00057A95" w:rsidP="00057A95">
            <w:pPr>
              <w:spacing w:before="0" w:line="300" w:lineRule="atLeast"/>
            </w:pPr>
          </w:p>
          <w:p w:rsidR="00057A95" w:rsidRDefault="00057A95" w:rsidP="00057A95">
            <w:pPr>
              <w:spacing w:before="0" w:line="300" w:lineRule="atLeast"/>
            </w:pPr>
            <w:r>
              <w:t>µi</w:t>
            </w:r>
            <w:r w:rsidR="00382ACF">
              <w:t>ndiquer soit le nombre de jours ouvrables, soit le nombre de jours calendrier, soit le nombre de semaines, de mois ou d’années, soit encore un délai de date à date ou pour une date finale déterminée.</w:t>
            </w:r>
          </w:p>
        </w:tc>
      </w:tr>
    </w:tbl>
    <w:p w:rsidR="00382ACF" w:rsidRDefault="00382ACF" w:rsidP="00382ACF">
      <w:pPr>
        <w:pBdr>
          <w:top w:val="single" w:sz="12" w:space="1" w:color="auto"/>
          <w:left w:val="single" w:sz="12" w:space="1" w:color="auto"/>
          <w:bottom w:val="single" w:sz="12" w:space="1" w:color="auto"/>
          <w:right w:val="single" w:sz="12" w:space="1" w:color="auto"/>
        </w:pBdr>
        <w:spacing w:line="300" w:lineRule="atLeast"/>
        <w:rPr>
          <w:i/>
        </w:rPr>
      </w:pPr>
      <w:r>
        <w:t>Si le marché comporte plusieurs parties ou plusieurs phases ayant chacune leur délai et leur montant propres, indiquer ici les délais d’exécution y afférents (voir à ce sujet les articles 91 et 92) et préciser que le délai concerné est de rigueur ou non.</w:t>
      </w:r>
    </w:p>
    <w:p w:rsidR="00382ACF" w:rsidRDefault="00382ACF" w:rsidP="00382ACF">
      <w:pPr>
        <w:pStyle w:val="Corpsdetexte"/>
        <w:spacing w:line="300" w:lineRule="atLeast"/>
      </w:pPr>
    </w:p>
    <w:p w:rsidR="00382ACF" w:rsidRDefault="00382ACF" w:rsidP="00382ACF">
      <w:pPr>
        <w:pStyle w:val="Corpsdetexte"/>
        <w:spacing w:line="300" w:lineRule="atLeast"/>
      </w:pPr>
      <w:r>
        <w:t xml:space="preserve">Il y a lieu de vérifier la classe d’agréation exigée pour le marché concerné et s’il s’agit de travaux nécessitant le recours à des techniques ou à des matériaux non courants, pour déterminer le délai endéans lequel l’ordre de commencer les travaux doit être délivré. </w:t>
      </w:r>
    </w:p>
    <w:p w:rsidR="00382ACF" w:rsidRDefault="00382ACF">
      <w:pPr>
        <w:spacing w:before="0" w:after="200" w:line="276" w:lineRule="auto"/>
        <w:jc w:val="left"/>
        <w:rPr>
          <w:rFonts w:cs="Arial"/>
          <w:sz w:val="24"/>
        </w:rPr>
      </w:pPr>
    </w:p>
    <w:p w:rsidR="00010294" w:rsidRDefault="00010294">
      <w:pPr>
        <w:spacing w:before="0" w:after="200" w:line="276" w:lineRule="auto"/>
        <w:jc w:val="left"/>
        <w:rPr>
          <w:rFonts w:eastAsiaTheme="majorEastAsia" w:cstheme="majorBidi"/>
          <w:b/>
          <w:bCs/>
          <w:sz w:val="28"/>
        </w:rPr>
      </w:pPr>
      <w:r>
        <w:br w:type="page"/>
      </w:r>
    </w:p>
    <w:p w:rsidR="00382ACF" w:rsidRDefault="00382ACF" w:rsidP="006B3928">
      <w:pPr>
        <w:pStyle w:val="Titre3"/>
      </w:pPr>
      <w:bookmarkStart w:id="41" w:name="_Toc503796641"/>
      <w:r>
        <w:lastRenderedPageBreak/>
        <w:t xml:space="preserve">Article 79: organisation générale du </w:t>
      </w:r>
      <w:r w:rsidR="00B53F38">
        <w:t>chantier</w:t>
      </w:r>
      <w:bookmarkEnd w:id="41"/>
    </w:p>
    <w:p w:rsidR="007F0C4F" w:rsidRPr="007F0C4F" w:rsidRDefault="007F0C4F" w:rsidP="007F0C4F"/>
    <w:p w:rsidR="007F0C4F" w:rsidRPr="007F0C4F" w:rsidRDefault="007F0C4F" w:rsidP="007F0C4F">
      <w:pPr>
        <w:pStyle w:val="Corpsdetexte"/>
        <w:pBdr>
          <w:top w:val="single" w:sz="12" w:space="1" w:color="auto"/>
          <w:left w:val="single" w:sz="12" w:space="4" w:color="auto"/>
          <w:bottom w:val="single" w:sz="12" w:space="1" w:color="auto"/>
          <w:right w:val="single" w:sz="12" w:space="4" w:color="auto"/>
        </w:pBdr>
        <w:spacing w:line="300" w:lineRule="atLeast"/>
        <w:rPr>
          <w:rFonts w:ascii="Arial" w:hAnsi="Arial" w:cs="Arial"/>
          <w:i w:val="0"/>
          <w:sz w:val="22"/>
          <w:szCs w:val="22"/>
        </w:rPr>
      </w:pPr>
      <w:r w:rsidRPr="007F0C4F">
        <w:rPr>
          <w:rFonts w:ascii="Arial" w:hAnsi="Arial" w:cs="Arial"/>
          <w:i w:val="0"/>
          <w:sz w:val="22"/>
          <w:szCs w:val="22"/>
          <w:u w:val="single"/>
        </w:rPr>
        <w:t>Matériel de laboratoire de chantier</w:t>
      </w:r>
      <w:r w:rsidRPr="007F0C4F">
        <w:rPr>
          <w:rFonts w:ascii="Arial" w:hAnsi="Arial" w:cs="Arial"/>
          <w:i w:val="0"/>
          <w:sz w:val="22"/>
          <w:szCs w:val="22"/>
        </w:rPr>
        <w:t>:</w:t>
      </w:r>
    </w:p>
    <w:p w:rsidR="007F0C4F" w:rsidRPr="007F0C4F" w:rsidRDefault="007F0C4F" w:rsidP="007F0C4F">
      <w:pPr>
        <w:pStyle w:val="Corpsdetexte"/>
        <w:pBdr>
          <w:top w:val="single" w:sz="12" w:space="1" w:color="auto"/>
          <w:left w:val="single" w:sz="12" w:space="4" w:color="auto"/>
          <w:bottom w:val="single" w:sz="12" w:space="1" w:color="auto"/>
          <w:right w:val="single" w:sz="12" w:space="4" w:color="auto"/>
        </w:pBdr>
        <w:spacing w:line="300" w:lineRule="atLeast"/>
        <w:rPr>
          <w:rFonts w:ascii="Arial" w:hAnsi="Arial" w:cs="Arial"/>
          <w:i w:val="0"/>
          <w:sz w:val="22"/>
          <w:szCs w:val="22"/>
        </w:rPr>
      </w:pPr>
      <w:r w:rsidRPr="007F0C4F">
        <w:rPr>
          <w:rFonts w:ascii="Arial" w:hAnsi="Arial" w:cs="Arial"/>
          <w:i w:val="0"/>
          <w:sz w:val="22"/>
          <w:szCs w:val="22"/>
        </w:rPr>
        <w:t>Indiquer le matériel de laboratoire de chantier à mettre à disposition du pouvoir adjudicateur.</w:t>
      </w:r>
    </w:p>
    <w:p w:rsidR="007F0C4F" w:rsidRPr="007F0C4F" w:rsidRDefault="007F0C4F" w:rsidP="007F0C4F">
      <w:pPr>
        <w:numPr>
          <w:ilvl w:val="0"/>
          <w:numId w:val="13"/>
        </w:numPr>
        <w:pBdr>
          <w:top w:val="single" w:sz="12" w:space="1" w:color="auto"/>
          <w:left w:val="single" w:sz="12" w:space="4" w:color="auto"/>
          <w:bottom w:val="single" w:sz="12" w:space="1" w:color="auto"/>
          <w:right w:val="single" w:sz="12" w:space="4" w:color="auto"/>
        </w:pBdr>
        <w:spacing w:before="0" w:line="300" w:lineRule="atLeast"/>
        <w:rPr>
          <w:rFonts w:cs="Arial"/>
          <w:szCs w:val="22"/>
        </w:rPr>
      </w:pPr>
      <w:r w:rsidRPr="007F0C4F">
        <w:rPr>
          <w:rFonts w:cs="Arial"/>
          <w:szCs w:val="22"/>
        </w:rPr>
        <w:t>une main écope à fond plat, une paire de gants résistants à la chaleur, un thermomètre de 0 à 200 °C pour le contrôle de la température des mélanges bitumineux, …</w:t>
      </w:r>
    </w:p>
    <w:p w:rsidR="007F0C4F" w:rsidRPr="007F0C4F" w:rsidRDefault="007F0C4F" w:rsidP="007F0C4F">
      <w:pPr>
        <w:numPr>
          <w:ilvl w:val="0"/>
          <w:numId w:val="13"/>
        </w:numPr>
        <w:pBdr>
          <w:top w:val="single" w:sz="12" w:space="1" w:color="auto"/>
          <w:left w:val="single" w:sz="12" w:space="4" w:color="auto"/>
          <w:bottom w:val="single" w:sz="12" w:space="1" w:color="auto"/>
          <w:right w:val="single" w:sz="12" w:space="4" w:color="auto"/>
        </w:pBdr>
        <w:spacing w:before="0" w:line="300" w:lineRule="atLeast"/>
        <w:rPr>
          <w:rFonts w:cs="Arial"/>
          <w:szCs w:val="22"/>
        </w:rPr>
      </w:pPr>
      <w:r w:rsidRPr="007F0C4F">
        <w:rPr>
          <w:rFonts w:cs="Arial"/>
          <w:szCs w:val="22"/>
        </w:rPr>
        <w:t xml:space="preserve">une règle de 3 mètres à chants effilés, avec coin gradué, sur laquelle est adapté un niveau </w:t>
      </w:r>
    </w:p>
    <w:p w:rsidR="007F0C4F" w:rsidRPr="007F0C4F" w:rsidRDefault="007F0C4F" w:rsidP="007F0C4F">
      <w:pPr>
        <w:numPr>
          <w:ilvl w:val="0"/>
          <w:numId w:val="13"/>
        </w:numPr>
        <w:pBdr>
          <w:top w:val="single" w:sz="12" w:space="1" w:color="auto"/>
          <w:left w:val="single" w:sz="12" w:space="4" w:color="auto"/>
          <w:bottom w:val="single" w:sz="12" w:space="1" w:color="auto"/>
          <w:right w:val="single" w:sz="12" w:space="4" w:color="auto"/>
        </w:pBdr>
        <w:spacing w:before="0" w:line="300" w:lineRule="atLeast"/>
        <w:rPr>
          <w:rFonts w:cs="Arial"/>
          <w:szCs w:val="22"/>
        </w:rPr>
      </w:pPr>
      <w:r w:rsidRPr="007F0C4F">
        <w:rPr>
          <w:rFonts w:cs="Arial"/>
          <w:szCs w:val="22"/>
        </w:rPr>
        <w:t>un stock de boîtes métalliques d’une capacité de 5 litres, avec anse de transport et couvercle</w:t>
      </w:r>
    </w:p>
    <w:p w:rsidR="007F0C4F" w:rsidRPr="007F0C4F" w:rsidRDefault="007F0C4F" w:rsidP="007F0C4F">
      <w:pPr>
        <w:numPr>
          <w:ilvl w:val="0"/>
          <w:numId w:val="13"/>
        </w:numPr>
        <w:pBdr>
          <w:top w:val="single" w:sz="12" w:space="1" w:color="auto"/>
          <w:left w:val="single" w:sz="12" w:space="4" w:color="auto"/>
          <w:bottom w:val="single" w:sz="12" w:space="1" w:color="auto"/>
          <w:right w:val="single" w:sz="12" w:space="4" w:color="auto"/>
        </w:pBdr>
        <w:spacing w:before="0" w:line="300" w:lineRule="atLeast"/>
        <w:rPr>
          <w:rFonts w:cs="Arial"/>
          <w:szCs w:val="22"/>
        </w:rPr>
      </w:pPr>
      <w:r w:rsidRPr="007F0C4F">
        <w:rPr>
          <w:rFonts w:cs="Arial"/>
          <w:szCs w:val="22"/>
        </w:rPr>
        <w:t>un appareillage pour les essais à la plaque, y compris la mise à disposition du camion lesté et du chauffeur (dans le cas de terrassements et fondations)</w:t>
      </w:r>
    </w:p>
    <w:p w:rsidR="007F0C4F" w:rsidRPr="007F0C4F" w:rsidRDefault="007F0C4F" w:rsidP="007F0C4F">
      <w:pPr>
        <w:numPr>
          <w:ilvl w:val="0"/>
          <w:numId w:val="13"/>
        </w:numPr>
        <w:pBdr>
          <w:top w:val="single" w:sz="12" w:space="1" w:color="auto"/>
          <w:left w:val="single" w:sz="12" w:space="4" w:color="auto"/>
          <w:bottom w:val="single" w:sz="12" w:space="1" w:color="auto"/>
          <w:right w:val="single" w:sz="12" w:space="4" w:color="auto"/>
        </w:pBdr>
        <w:spacing w:before="0" w:line="300" w:lineRule="atLeast"/>
        <w:rPr>
          <w:rFonts w:cs="Arial"/>
          <w:szCs w:val="22"/>
        </w:rPr>
      </w:pPr>
      <w:r w:rsidRPr="007F0C4F">
        <w:rPr>
          <w:rFonts w:cs="Arial"/>
          <w:szCs w:val="22"/>
        </w:rPr>
        <w:t>des moules pour la réalisation de cubes en béton</w:t>
      </w:r>
    </w:p>
    <w:p w:rsidR="007F0C4F" w:rsidRPr="007F0C4F" w:rsidRDefault="007F0C4F" w:rsidP="007F0C4F">
      <w:pPr>
        <w:numPr>
          <w:ilvl w:val="0"/>
          <w:numId w:val="13"/>
        </w:numPr>
        <w:pBdr>
          <w:top w:val="single" w:sz="12" w:space="1" w:color="auto"/>
          <w:left w:val="single" w:sz="12" w:space="4" w:color="auto"/>
          <w:bottom w:val="single" w:sz="12" w:space="1" w:color="auto"/>
          <w:right w:val="single" w:sz="12" w:space="4" w:color="auto"/>
        </w:pBdr>
        <w:spacing w:before="0" w:line="300" w:lineRule="atLeast"/>
        <w:rPr>
          <w:rFonts w:cs="Arial"/>
          <w:szCs w:val="22"/>
        </w:rPr>
      </w:pPr>
      <w:r w:rsidRPr="007F0C4F">
        <w:rPr>
          <w:rFonts w:cs="Arial"/>
          <w:szCs w:val="22"/>
        </w:rPr>
        <w:t>…</w:t>
      </w:r>
    </w:p>
    <w:p w:rsidR="00382ACF" w:rsidRDefault="00010294" w:rsidP="00382ACF">
      <w:pPr>
        <w:pStyle w:val="Corpsdetexte"/>
        <w:spacing w:line="300" w:lineRule="atLeast"/>
      </w:pPr>
      <w:r>
        <w:t>Adapter</w:t>
      </w:r>
      <w:r w:rsidR="00057A95">
        <w:t xml:space="preserve"> la lister en fonction des besoins du chantier</w:t>
      </w:r>
    </w:p>
    <w:p w:rsidR="00382ACF" w:rsidRPr="00C357D7" w:rsidRDefault="00382ACF" w:rsidP="00382ACF">
      <w:pPr>
        <w:keepNext/>
        <w:pBdr>
          <w:top w:val="single" w:sz="12" w:space="1" w:color="auto"/>
          <w:left w:val="single" w:sz="12" w:space="3" w:color="auto"/>
          <w:bottom w:val="single" w:sz="12" w:space="1" w:color="auto"/>
          <w:right w:val="single" w:sz="12" w:space="1" w:color="auto"/>
        </w:pBdr>
        <w:spacing w:line="300" w:lineRule="atLeast"/>
      </w:pPr>
      <w:r w:rsidRPr="00C357D7">
        <w:rPr>
          <w:u w:val="single"/>
        </w:rPr>
        <w:t>Déviation</w:t>
      </w:r>
      <w:r w:rsidRPr="00C357D7">
        <w:t>:</w:t>
      </w:r>
    </w:p>
    <w:p w:rsidR="00057A95" w:rsidRDefault="00382ACF" w:rsidP="00057A95">
      <w:pPr>
        <w:keepNext/>
        <w:pBdr>
          <w:top w:val="single" w:sz="12" w:space="1" w:color="auto"/>
          <w:left w:val="single" w:sz="12" w:space="3" w:color="auto"/>
          <w:bottom w:val="single" w:sz="12" w:space="1" w:color="auto"/>
          <w:right w:val="single" w:sz="12" w:space="1" w:color="auto"/>
        </w:pBdr>
        <w:spacing w:line="300" w:lineRule="atLeast"/>
      </w:pPr>
      <w:r w:rsidRPr="00C357D7">
        <w:t>Indiquer si la déviation de la circulation est imposée ou interdite. Si elle est imposée, fournir l’itinéraire de déviation défini de manière détaillée avec indication précise de la signalisation routière à mettre en place, à modifier ou à occulter.</w:t>
      </w:r>
    </w:p>
    <w:p w:rsidR="00057A95" w:rsidRPr="00057A95" w:rsidRDefault="00057A95" w:rsidP="00057A95">
      <w:pPr>
        <w:pStyle w:val="Commentaires"/>
      </w:pPr>
      <w:r>
        <w:t>Compte tenu de la nature des travaux, une déviation même temporaire est à prévoir lors de la pose de l'enrobé ou lors de la réalisation des enduits.</w:t>
      </w:r>
    </w:p>
    <w:p w:rsidR="00382ACF" w:rsidRPr="00C357D7" w:rsidRDefault="00382ACF" w:rsidP="00382ACF">
      <w:pPr>
        <w:pBdr>
          <w:top w:val="single" w:sz="12" w:space="1" w:color="auto"/>
          <w:left w:val="single" w:sz="12" w:space="4" w:color="auto"/>
          <w:bottom w:val="single" w:sz="12" w:space="1" w:color="auto"/>
          <w:right w:val="single" w:sz="12" w:space="4" w:color="auto"/>
        </w:pBdr>
        <w:tabs>
          <w:tab w:val="left" w:pos="280"/>
          <w:tab w:val="left" w:pos="1020"/>
        </w:tabs>
        <w:spacing w:line="300" w:lineRule="atLeast"/>
        <w:ind w:right="42" w:firstLine="20"/>
      </w:pPr>
      <w:r w:rsidRPr="00C357D7">
        <w:rPr>
          <w:u w:val="single"/>
        </w:rPr>
        <w:t xml:space="preserve">Locaux mis à disposition du </w:t>
      </w:r>
      <w:r>
        <w:rPr>
          <w:u w:val="single"/>
        </w:rPr>
        <w:t>pouvoir adjudicateur</w:t>
      </w:r>
      <w:r>
        <w:t>:</w:t>
      </w:r>
    </w:p>
    <w:p w:rsidR="00382ACF" w:rsidRPr="00C357D7" w:rsidRDefault="00382ACF" w:rsidP="00382ACF">
      <w:pPr>
        <w:pBdr>
          <w:top w:val="single" w:sz="12" w:space="1" w:color="auto"/>
          <w:left w:val="single" w:sz="12" w:space="4" w:color="auto"/>
          <w:bottom w:val="single" w:sz="12" w:space="1" w:color="auto"/>
          <w:right w:val="single" w:sz="12" w:space="4" w:color="auto"/>
        </w:pBdr>
        <w:tabs>
          <w:tab w:val="left" w:pos="280"/>
          <w:tab w:val="left" w:pos="1020"/>
        </w:tabs>
        <w:spacing w:line="300" w:lineRule="atLeast"/>
        <w:ind w:right="42" w:firstLine="20"/>
      </w:pPr>
      <w:r w:rsidRPr="00C357D7">
        <w:t xml:space="preserve">Indiquer si l'adjudicataire met à la disposition des agents du </w:t>
      </w:r>
      <w:r>
        <w:t xml:space="preserve">pouvoir adjudicateur </w:t>
      </w:r>
      <w:r w:rsidRPr="00C357D7">
        <w:t xml:space="preserve">et à leur usage exclusif un ou plusieurs locaux d'une surface déterminée. </w:t>
      </w:r>
    </w:p>
    <w:p w:rsidR="00382ACF" w:rsidRPr="00C357D7" w:rsidRDefault="00382ACF" w:rsidP="00382ACF">
      <w:pPr>
        <w:pBdr>
          <w:top w:val="single" w:sz="12" w:space="1" w:color="auto"/>
          <w:left w:val="single" w:sz="12" w:space="4" w:color="auto"/>
          <w:bottom w:val="single" w:sz="12" w:space="1" w:color="auto"/>
          <w:right w:val="single" w:sz="12" w:space="4" w:color="auto"/>
        </w:pBdr>
        <w:tabs>
          <w:tab w:val="left" w:pos="280"/>
          <w:tab w:val="left" w:pos="1020"/>
        </w:tabs>
        <w:spacing w:line="300" w:lineRule="atLeast"/>
        <w:ind w:right="42" w:firstLine="20"/>
      </w:pPr>
      <w:r w:rsidRPr="00C357D7">
        <w:t xml:space="preserve">Si c’est le cas, indiquer la surface des locaux, le mobilier, les équipements et les services éventuels à mettre à disposition du </w:t>
      </w:r>
      <w:r>
        <w:t>pouvoir adjudicateur.</w:t>
      </w:r>
      <w:r w:rsidRPr="00C357D7">
        <w:t xml:space="preserve"> </w:t>
      </w:r>
    </w:p>
    <w:p w:rsidR="00382ACF" w:rsidRDefault="00382ACF" w:rsidP="00382ACF">
      <w:pPr>
        <w:pBdr>
          <w:top w:val="single" w:sz="12" w:space="1" w:color="auto"/>
          <w:left w:val="single" w:sz="12" w:space="4" w:color="auto"/>
          <w:bottom w:val="single" w:sz="12" w:space="1" w:color="auto"/>
          <w:right w:val="single" w:sz="12" w:space="4" w:color="auto"/>
        </w:pBdr>
        <w:tabs>
          <w:tab w:val="left" w:pos="280"/>
          <w:tab w:val="left" w:pos="1020"/>
        </w:tabs>
        <w:spacing w:line="300" w:lineRule="atLeast"/>
        <w:ind w:right="42" w:firstLine="20"/>
      </w:pPr>
      <w:r w:rsidRPr="00C357D7">
        <w:t>Indiquer une date de fin de mise à disposition des locaux si cette date n'est pas celle de l'achèvement réel des travaux.</w:t>
      </w:r>
    </w:p>
    <w:p w:rsidR="00057A95" w:rsidRPr="00C357D7" w:rsidRDefault="00057A95" w:rsidP="00057A95">
      <w:pPr>
        <w:pStyle w:val="Commentaires"/>
      </w:pPr>
      <w:r w:rsidRPr="00AD2228">
        <w:t>La mise à disposition d’un tel local peut engendrer des coûts inutiles pour un simple enduisage</w:t>
      </w:r>
      <w:r>
        <w:t>. Dans la même optique, le matériel envisagé doit être limité au strict nécessaire.</w:t>
      </w:r>
    </w:p>
    <w:p w:rsidR="007F0C4F" w:rsidRPr="007F0C4F" w:rsidRDefault="00382ACF" w:rsidP="007F0C4F">
      <w:pPr>
        <w:pBdr>
          <w:top w:val="single" w:sz="12" w:space="1" w:color="auto"/>
          <w:left w:val="single" w:sz="12" w:space="4" w:color="auto"/>
          <w:bottom w:val="single" w:sz="12" w:space="1" w:color="auto"/>
          <w:right w:val="single" w:sz="12" w:space="1" w:color="auto"/>
        </w:pBdr>
        <w:spacing w:after="240" w:line="300" w:lineRule="atLeast"/>
      </w:pPr>
      <w:r>
        <w:t>Le cas échéant, indiquer les entreprises susceptibles de travailler simultanément sur le chantier.</w:t>
      </w:r>
    </w:p>
    <w:p w:rsidR="00010294" w:rsidRDefault="00010294">
      <w:pPr>
        <w:spacing w:before="0" w:after="200" w:line="276" w:lineRule="auto"/>
        <w:jc w:val="left"/>
        <w:rPr>
          <w:rFonts w:cs="Arial"/>
          <w:i/>
          <w:sz w:val="24"/>
          <w:u w:val="single"/>
        </w:rPr>
      </w:pPr>
      <w:r>
        <w:rPr>
          <w:rFonts w:cs="Arial"/>
          <w:u w:val="single"/>
        </w:rPr>
        <w:br w:type="page"/>
      </w:r>
    </w:p>
    <w:p w:rsidR="00BC3844" w:rsidRDefault="006D5FD7" w:rsidP="007F0C4F">
      <w:pPr>
        <w:pStyle w:val="Corpsdetexte"/>
        <w:pBdr>
          <w:top w:val="single" w:sz="12" w:space="1" w:color="auto"/>
          <w:left w:val="single" w:sz="12" w:space="4" w:color="auto"/>
          <w:bottom w:val="single" w:sz="12" w:space="1" w:color="auto"/>
          <w:right w:val="single" w:sz="12" w:space="4" w:color="auto"/>
        </w:pBdr>
        <w:spacing w:line="300" w:lineRule="atLeast"/>
        <w:rPr>
          <w:rFonts w:ascii="Arial" w:hAnsi="Arial" w:cs="Arial"/>
          <w:u w:val="single"/>
        </w:rPr>
      </w:pPr>
      <w:r w:rsidRPr="006D5FD7">
        <w:rPr>
          <w:rFonts w:ascii="Arial" w:hAnsi="Arial" w:cs="Arial"/>
          <w:u w:val="single"/>
        </w:rPr>
        <w:lastRenderedPageBreak/>
        <w:t>Les frais de signalisation</w:t>
      </w:r>
    </w:p>
    <w:p w:rsidR="007F0C4F" w:rsidRPr="006D5FD7" w:rsidRDefault="007F0C4F" w:rsidP="007F0C4F">
      <w:pPr>
        <w:pStyle w:val="Corpsdetexte"/>
        <w:pBdr>
          <w:top w:val="single" w:sz="12" w:space="1" w:color="auto"/>
          <w:left w:val="single" w:sz="12" w:space="4" w:color="auto"/>
          <w:bottom w:val="single" w:sz="12" w:space="1" w:color="auto"/>
          <w:right w:val="single" w:sz="12" w:space="4" w:color="auto"/>
        </w:pBdr>
        <w:spacing w:line="300" w:lineRule="atLeast"/>
        <w:rPr>
          <w:rFonts w:ascii="Arial" w:hAnsi="Arial" w:cs="Arial"/>
          <w:u w:val="single"/>
        </w:rPr>
      </w:pPr>
    </w:p>
    <w:p w:rsidR="00382ACF" w:rsidRPr="006D5FD7" w:rsidRDefault="00382ACF" w:rsidP="007F0C4F">
      <w:pPr>
        <w:numPr>
          <w:ilvl w:val="0"/>
          <w:numId w:val="16"/>
        </w:numPr>
        <w:pBdr>
          <w:top w:val="single" w:sz="12" w:space="1" w:color="auto"/>
          <w:left w:val="single" w:sz="12" w:space="4" w:color="auto"/>
          <w:bottom w:val="single" w:sz="12" w:space="1" w:color="auto"/>
          <w:right w:val="single" w:sz="12" w:space="4" w:color="auto"/>
        </w:pBdr>
        <w:spacing w:before="0" w:line="300" w:lineRule="atLeast"/>
        <w:rPr>
          <w:rFonts w:cs="Arial"/>
        </w:rPr>
      </w:pPr>
      <w:r w:rsidRPr="006D5FD7">
        <w:rPr>
          <w:rFonts w:cs="Arial"/>
        </w:rPr>
        <w:t>Indiquer la catégorie du chantier conformément aux dispositions de l'AM du 07 mai 1999 (MB du 21.05.1999).</w:t>
      </w:r>
    </w:p>
    <w:p w:rsidR="00382ACF" w:rsidRPr="006D5FD7" w:rsidRDefault="00382ACF" w:rsidP="007F0C4F">
      <w:pPr>
        <w:numPr>
          <w:ilvl w:val="0"/>
          <w:numId w:val="16"/>
        </w:numPr>
        <w:pBdr>
          <w:top w:val="single" w:sz="12" w:space="1" w:color="auto"/>
          <w:left w:val="single" w:sz="12" w:space="4" w:color="auto"/>
          <w:bottom w:val="single" w:sz="12" w:space="1" w:color="auto"/>
          <w:right w:val="single" w:sz="12" w:space="4" w:color="auto"/>
        </w:pBdr>
        <w:spacing w:before="0" w:line="300" w:lineRule="atLeast"/>
        <w:rPr>
          <w:rFonts w:cs="Arial"/>
        </w:rPr>
      </w:pPr>
      <w:r w:rsidRPr="006D5FD7">
        <w:rPr>
          <w:rFonts w:cs="Arial"/>
        </w:rPr>
        <w:t>Le cas échéant, indiquer que le chantier est situé sur le Réseau I, II ou III.</w:t>
      </w:r>
    </w:p>
    <w:p w:rsidR="006D5FD7" w:rsidRDefault="006D5FD7" w:rsidP="006D5FD7">
      <w:pPr>
        <w:pStyle w:val="Corpsdetexte"/>
        <w:spacing w:line="300" w:lineRule="atLeast"/>
      </w:pPr>
    </w:p>
    <w:p w:rsidR="006D5FD7" w:rsidRPr="007F0C4F" w:rsidRDefault="006D5FD7" w:rsidP="007F0C4F">
      <w:pPr>
        <w:pStyle w:val="Corpsdetexte"/>
        <w:spacing w:line="300" w:lineRule="atLeast"/>
      </w:pPr>
      <w:r w:rsidRPr="006D5FD7">
        <w:t xml:space="preserve">Il y a lieu de distinguer clairement les frais de signalisation à charge de l’entreprise et les frais de signalisation devant faire l’objet de postes au métré. </w:t>
      </w:r>
    </w:p>
    <w:p w:rsidR="00B53F38" w:rsidRDefault="00382ACF" w:rsidP="00382ACF">
      <w:pPr>
        <w:spacing w:line="300" w:lineRule="atLeast"/>
        <w:rPr>
          <w:rFonts w:ascii="Times New Roman" w:hAnsi="Times New Roman"/>
          <w:i/>
          <w:sz w:val="24"/>
        </w:rPr>
      </w:pPr>
      <w:r w:rsidRPr="006D5FD7">
        <w:rPr>
          <w:rFonts w:ascii="Times New Roman" w:hAnsi="Times New Roman"/>
          <w:i/>
          <w:sz w:val="24"/>
        </w:rPr>
        <w:t>Cette dernière indication est très importante car dans ce cas, pour les chantiers de 1</w:t>
      </w:r>
      <w:r w:rsidRPr="006D5FD7">
        <w:rPr>
          <w:rFonts w:ascii="Times New Roman" w:hAnsi="Times New Roman"/>
          <w:i/>
          <w:sz w:val="24"/>
          <w:vertAlign w:val="superscript"/>
        </w:rPr>
        <w:t>e</w:t>
      </w:r>
      <w:r w:rsidRPr="006D5FD7">
        <w:rPr>
          <w:rFonts w:ascii="Times New Roman" w:hAnsi="Times New Roman"/>
          <w:i/>
          <w:sz w:val="24"/>
        </w:rPr>
        <w:t>, 5</w:t>
      </w:r>
      <w:r w:rsidRPr="006D5FD7">
        <w:rPr>
          <w:rFonts w:ascii="Times New Roman" w:hAnsi="Times New Roman"/>
          <w:i/>
          <w:sz w:val="24"/>
          <w:vertAlign w:val="superscript"/>
        </w:rPr>
        <w:t>e</w:t>
      </w:r>
      <w:r w:rsidRPr="006D5FD7">
        <w:rPr>
          <w:rFonts w:ascii="Times New Roman" w:hAnsi="Times New Roman"/>
          <w:i/>
          <w:sz w:val="24"/>
        </w:rPr>
        <w:t xml:space="preserve"> et 6</w:t>
      </w:r>
      <w:r w:rsidRPr="006D5FD7">
        <w:rPr>
          <w:rFonts w:ascii="Times New Roman" w:hAnsi="Times New Roman"/>
          <w:i/>
          <w:sz w:val="24"/>
          <w:vertAlign w:val="superscript"/>
        </w:rPr>
        <w:t>e</w:t>
      </w:r>
      <w:r w:rsidRPr="006D5FD7">
        <w:rPr>
          <w:rFonts w:ascii="Times New Roman" w:hAnsi="Times New Roman"/>
          <w:i/>
          <w:sz w:val="24"/>
        </w:rPr>
        <w:t xml:space="preserve"> catégorie, la signalisation réglementaire fait l’objet de postes au métré.</w:t>
      </w:r>
    </w:p>
    <w:p w:rsidR="00382ACF" w:rsidRPr="00C357D7" w:rsidRDefault="00382ACF" w:rsidP="00382ACF">
      <w:pPr>
        <w:pBdr>
          <w:top w:val="single" w:sz="12" w:space="1" w:color="auto"/>
          <w:left w:val="single" w:sz="12" w:space="4" w:color="auto"/>
          <w:bottom w:val="single" w:sz="12" w:space="1" w:color="auto"/>
          <w:right w:val="single" w:sz="12" w:space="4" w:color="auto"/>
        </w:pBdr>
        <w:spacing w:line="300" w:lineRule="atLeast"/>
      </w:pPr>
      <w:r w:rsidRPr="00C357D7">
        <w:rPr>
          <w:u w:val="single"/>
        </w:rPr>
        <w:t>Etat des lieux</w:t>
      </w:r>
      <w:r>
        <w:t>:</w:t>
      </w:r>
    </w:p>
    <w:p w:rsidR="00382ACF" w:rsidRDefault="00382ACF" w:rsidP="00382ACF">
      <w:pPr>
        <w:pBdr>
          <w:top w:val="single" w:sz="12" w:space="1" w:color="auto"/>
          <w:left w:val="single" w:sz="12" w:space="4" w:color="auto"/>
          <w:bottom w:val="single" w:sz="12" w:space="1" w:color="auto"/>
          <w:right w:val="single" w:sz="12" w:space="4" w:color="auto"/>
        </w:pBdr>
        <w:spacing w:line="300" w:lineRule="atLeast"/>
      </w:pPr>
      <w:r w:rsidRPr="00C357D7">
        <w:t>Si un état des lieux e</w:t>
      </w:r>
      <w:r>
        <w:t>st à réaliser, le préciser et</w:t>
      </w:r>
      <w:r w:rsidRPr="00C357D7">
        <w:t xml:space="preserve"> définir son niveau de précision et la zone concernée.</w:t>
      </w:r>
    </w:p>
    <w:p w:rsidR="00057A95" w:rsidRDefault="00057A95" w:rsidP="00057A95">
      <w:pPr>
        <w:pStyle w:val="Corpsdetexte"/>
      </w:pPr>
    </w:p>
    <w:p w:rsidR="00057A95" w:rsidRPr="00F252E8" w:rsidRDefault="00057A95" w:rsidP="00057A95">
      <w:pPr>
        <w:pStyle w:val="Corpsdetexte"/>
      </w:pPr>
      <w:r w:rsidRPr="00F252E8">
        <w:t>L’auteur de projet peut utilement s’inspirer du texte suivant, en l’adaptant au chantier considéré:</w:t>
      </w:r>
    </w:p>
    <w:p w:rsidR="00057A95" w:rsidRPr="00F252E8" w:rsidRDefault="00057A95" w:rsidP="00057A95">
      <w:pPr>
        <w:pStyle w:val="Corpsdetexte"/>
      </w:pPr>
      <w:r w:rsidRPr="00F252E8">
        <w:t>"Dans les 10 jours ouvrables suivant la réception de la lettre de notification d’attribution du présent marché, l’adjudicataire informe le fonctionnaire dirigeant des nom, adresse et références du géomètre expert immobilier assermenté désigné par lui pour établir l’état des lieux et concrétiser un plan de repérage. Ce plan de repérage reprend chacun des immeubles et ouvrages pour lesquels un état des lieux avant travaux doit être dressé. Le plan de repérage approuvé par le fonctionnaire dirigeant est annexé au rapport de synthèse de l’état des lieux. Les points de niveau de référence sont inscrits sur le plan de repérage par le géomètre expert immobilier assermenté.</w:t>
      </w:r>
    </w:p>
    <w:p w:rsidR="00057A95" w:rsidRPr="00F252E8" w:rsidRDefault="00057A95" w:rsidP="00057A95">
      <w:pPr>
        <w:pStyle w:val="Corpsdetexte"/>
      </w:pPr>
    </w:p>
    <w:p w:rsidR="00057A95" w:rsidRPr="00F252E8" w:rsidRDefault="00057A95" w:rsidP="00057A95">
      <w:pPr>
        <w:pStyle w:val="Corpsdetexte"/>
      </w:pPr>
      <w:r w:rsidRPr="00F252E8">
        <w:t>Dans les 30 jours ouvrables à dater de la réception provisoire des travaux, l’adjudicataire transmet au fonctionnaire dirigeant, le rapport de synthèse des états de récolements qu’il fait dresser après travaux par le géomètre expert immobilier assermenté.</w:t>
      </w:r>
    </w:p>
    <w:p w:rsidR="00057A95" w:rsidRPr="00F252E8" w:rsidRDefault="00057A95" w:rsidP="00057A95">
      <w:pPr>
        <w:pStyle w:val="Corpsdetexte"/>
      </w:pPr>
    </w:p>
    <w:p w:rsidR="00057A95" w:rsidRPr="00C357D7" w:rsidRDefault="00057A95" w:rsidP="00057A95">
      <w:pPr>
        <w:pStyle w:val="Corpsdetexte"/>
      </w:pPr>
      <w:r w:rsidRPr="00F252E8">
        <w:t>En cas de constat de fissures ou dérangement quelconque dans un ouvrage, l’adjudicataire est tenu d’en aviser immédiatement le fonctionnaire dirigeant, ainsi que le géomètre expert immobilier. L’adjudicataire fait apposer, par ce dernier, des témoins qui doivent être contrôlés régulièrement par ses soins. Chaque sinistre fait l’objet, dans le délais le plus bref de sa survenance, d’une déclaration de l’adjudicataire au fonctionnaire dirigeant pour l’ouverture d’un dossier complet."</w:t>
      </w:r>
    </w:p>
    <w:p w:rsidR="00010294" w:rsidRDefault="00010294" w:rsidP="00B53F38">
      <w:pPr>
        <w:spacing w:before="0" w:line="300" w:lineRule="atLeast"/>
        <w:ind w:left="283"/>
        <w:rPr>
          <w:u w:val="single"/>
        </w:rPr>
      </w:pPr>
    </w:p>
    <w:p w:rsidR="00010294" w:rsidRDefault="00010294">
      <w:pPr>
        <w:spacing w:before="0" w:after="200" w:line="276" w:lineRule="auto"/>
        <w:jc w:val="left"/>
        <w:rPr>
          <w:u w:val="single"/>
        </w:rPr>
      </w:pPr>
      <w:r>
        <w:rPr>
          <w:u w:val="single"/>
        </w:rPr>
        <w:br w:type="page"/>
      </w:r>
    </w:p>
    <w:p w:rsidR="00010294" w:rsidRDefault="00010294" w:rsidP="008502C6">
      <w:pPr>
        <w:pBdr>
          <w:top w:val="single" w:sz="12" w:space="1" w:color="auto"/>
          <w:left w:val="single" w:sz="12" w:space="10" w:color="auto"/>
          <w:bottom w:val="single" w:sz="12" w:space="1" w:color="auto"/>
          <w:right w:val="single" w:sz="12" w:space="4" w:color="auto"/>
        </w:pBdr>
        <w:spacing w:before="0" w:line="300" w:lineRule="atLeast"/>
        <w:rPr>
          <w:u w:val="single"/>
        </w:rPr>
      </w:pPr>
      <w:r w:rsidRPr="00F252E8">
        <w:rPr>
          <w:u w:val="single"/>
        </w:rPr>
        <w:lastRenderedPageBreak/>
        <w:t>Protection des ouvrages existants et troubles de voisinage</w:t>
      </w:r>
    </w:p>
    <w:p w:rsidR="00B8334A" w:rsidRDefault="00B8334A" w:rsidP="008502C6">
      <w:pPr>
        <w:pBdr>
          <w:top w:val="single" w:sz="12" w:space="1" w:color="auto"/>
          <w:left w:val="single" w:sz="12" w:space="10" w:color="auto"/>
          <w:bottom w:val="single" w:sz="12" w:space="1" w:color="auto"/>
          <w:right w:val="single" w:sz="12" w:space="4" w:color="auto"/>
        </w:pBdr>
        <w:spacing w:before="0" w:line="300" w:lineRule="atLeast"/>
        <w:rPr>
          <w:u w:val="single"/>
        </w:rPr>
      </w:pPr>
    </w:p>
    <w:p w:rsidR="00B8334A" w:rsidRPr="002A28DE" w:rsidRDefault="00010294" w:rsidP="008502C6">
      <w:pPr>
        <w:pBdr>
          <w:top w:val="single" w:sz="12" w:space="1" w:color="auto"/>
          <w:left w:val="single" w:sz="12" w:space="10" w:color="auto"/>
          <w:bottom w:val="single" w:sz="12" w:space="1" w:color="auto"/>
          <w:right w:val="single" w:sz="12" w:space="4" w:color="auto"/>
        </w:pBdr>
        <w:spacing w:before="0" w:line="300" w:lineRule="atLeast"/>
      </w:pPr>
      <w:r w:rsidRPr="002A28DE">
        <w:t>Indiquer, conformément au document de référence QUALIROUTES-A-5 "Code de bonne pratique pour la prévention des dégâts aux installations souterraines" et sur base des conclusions de la réunion d’avant-projet</w:t>
      </w:r>
      <w:r w:rsidR="00B8334A" w:rsidRPr="002A28DE">
        <w:t>:</w:t>
      </w:r>
    </w:p>
    <w:p w:rsidR="00B8334A" w:rsidRPr="002A28DE" w:rsidRDefault="00B8334A" w:rsidP="008502C6">
      <w:pPr>
        <w:pBdr>
          <w:top w:val="single" w:sz="12" w:space="1" w:color="auto"/>
          <w:left w:val="single" w:sz="12" w:space="10" w:color="auto"/>
          <w:bottom w:val="single" w:sz="12" w:space="1" w:color="auto"/>
          <w:right w:val="single" w:sz="12" w:space="4" w:color="auto"/>
        </w:pBdr>
        <w:spacing w:before="0" w:line="300" w:lineRule="atLeast"/>
      </w:pPr>
      <w:r w:rsidRPr="002A28DE">
        <w:t xml:space="preserve">-  </w:t>
      </w:r>
      <w:r w:rsidR="00010294" w:rsidRPr="002A28DE">
        <w:t>soit qu’il n’y a pas de câbles ni de canalisations dans la zone des travaux,</w:t>
      </w:r>
    </w:p>
    <w:p w:rsidR="00010294" w:rsidRPr="002A28DE" w:rsidRDefault="00B8334A" w:rsidP="008502C6">
      <w:pPr>
        <w:pBdr>
          <w:top w:val="single" w:sz="12" w:space="1" w:color="auto"/>
          <w:left w:val="single" w:sz="12" w:space="10" w:color="auto"/>
          <w:bottom w:val="single" w:sz="12" w:space="1" w:color="auto"/>
          <w:right w:val="single" w:sz="12" w:space="4" w:color="auto"/>
        </w:pBdr>
        <w:spacing w:before="0" w:line="300" w:lineRule="atLeast"/>
      </w:pPr>
      <w:r w:rsidRPr="002A28DE">
        <w:t xml:space="preserve">- </w:t>
      </w:r>
      <w:r w:rsidR="00010294" w:rsidRPr="002A28DE">
        <w:t>soit que des câbles et des canalisations sont situés dans la zone des travaux. Dans ce cas, préciser sur quel document les câbles et canalisations sont repérés en plan et en profondeur (soit sur un plan terrier, soit sur un document à annexer au cahier spécial des charges).</w:t>
      </w:r>
    </w:p>
    <w:p w:rsidR="00B8334A" w:rsidRPr="00B8334A" w:rsidRDefault="00B8334A" w:rsidP="00B8334A">
      <w:pPr>
        <w:pStyle w:val="Paragraphedeliste"/>
        <w:spacing w:before="0" w:line="300" w:lineRule="atLeast"/>
        <w:rPr>
          <w:rFonts w:ascii="Arial" w:hAnsi="Arial" w:cs="Arial"/>
          <w:u w:val="single"/>
        </w:rPr>
      </w:pPr>
    </w:p>
    <w:p w:rsidR="00010294" w:rsidRPr="00F252E8" w:rsidRDefault="00010294" w:rsidP="00010294">
      <w:pPr>
        <w:pBdr>
          <w:top w:val="single" w:sz="12" w:space="1" w:color="auto"/>
          <w:left w:val="single" w:sz="12" w:space="6" w:color="auto"/>
          <w:bottom w:val="single" w:sz="12" w:space="1" w:color="auto"/>
          <w:right w:val="single" w:sz="12" w:space="1" w:color="auto"/>
        </w:pBdr>
        <w:spacing w:line="300" w:lineRule="atLeast"/>
      </w:pPr>
      <w:r w:rsidRPr="00F252E8">
        <w:t>Le cas échéant, indiquer sur ces documents que la responsabilité du pouvoir adjudicateur n’est pas engagée quant à l’exactitude des renseignements fournis par les concessionnaires.</w:t>
      </w:r>
    </w:p>
    <w:p w:rsidR="00010294" w:rsidRDefault="00010294" w:rsidP="00B53F38">
      <w:pPr>
        <w:spacing w:before="0" w:line="300" w:lineRule="atLeast"/>
        <w:ind w:left="283"/>
        <w:rPr>
          <w:u w:val="single"/>
        </w:rPr>
      </w:pPr>
    </w:p>
    <w:p w:rsidR="00010294" w:rsidRPr="00F252E8" w:rsidRDefault="00010294" w:rsidP="00010294">
      <w:pPr>
        <w:tabs>
          <w:tab w:val="left" w:pos="280"/>
          <w:tab w:val="left" w:pos="1020"/>
        </w:tabs>
        <w:spacing w:line="300" w:lineRule="atLeast"/>
        <w:rPr>
          <w:i/>
        </w:rPr>
      </w:pPr>
      <w:r w:rsidRPr="00F252E8">
        <w:rPr>
          <w:i/>
        </w:rPr>
        <w:t>En cas de doute sur la situation des câbles et canalisations, et avec l’accord préalable du fonctionnaire dirigeant, l’entrepreneur vérifie par voie électronique et/ou par fouille de reconnaissance, la localisation des installations souterraines dans la zone où des détériorations peuvent être provoquées par l’exécution des travaux (</w:t>
      </w:r>
      <w:proofErr w:type="spellStart"/>
      <w:r w:rsidRPr="00F252E8">
        <w:rPr>
          <w:i/>
        </w:rPr>
        <w:t>cfr</w:t>
      </w:r>
      <w:proofErr w:type="spellEnd"/>
      <w:r w:rsidRPr="00F252E8">
        <w:rPr>
          <w:i/>
        </w:rPr>
        <w:t xml:space="preserve"> </w:t>
      </w:r>
      <w:r w:rsidRPr="00F252E8">
        <w:rPr>
          <w:i/>
          <w:color w:val="0000FF"/>
        </w:rPr>
        <w:t>E 1.2</w:t>
      </w:r>
      <w:r w:rsidRPr="00F252E8">
        <w:rPr>
          <w:i/>
        </w:rPr>
        <w:t>).</w:t>
      </w:r>
    </w:p>
    <w:p w:rsidR="00010294" w:rsidRDefault="00010294" w:rsidP="00B53F38">
      <w:pPr>
        <w:spacing w:before="0" w:line="300" w:lineRule="atLeast"/>
        <w:ind w:left="283"/>
        <w:rPr>
          <w:u w:val="single"/>
        </w:rPr>
      </w:pPr>
    </w:p>
    <w:p w:rsidR="00382ACF" w:rsidRPr="00C0295A" w:rsidRDefault="00382ACF" w:rsidP="008502C6">
      <w:pPr>
        <w:pBdr>
          <w:top w:val="single" w:sz="12" w:space="1" w:color="auto"/>
          <w:left w:val="single" w:sz="12" w:space="10" w:color="auto"/>
          <w:bottom w:val="single" w:sz="12" w:space="1" w:color="auto"/>
          <w:right w:val="single" w:sz="12" w:space="4" w:color="auto"/>
        </w:pBdr>
        <w:spacing w:before="0" w:line="300" w:lineRule="atLeast"/>
        <w:rPr>
          <w:u w:val="single"/>
        </w:rPr>
      </w:pPr>
      <w:r>
        <w:rPr>
          <w:u w:val="single"/>
        </w:rPr>
        <w:t>T</w:t>
      </w:r>
      <w:r w:rsidRPr="00C0295A">
        <w:rPr>
          <w:u w:val="single"/>
        </w:rPr>
        <w:t>racé de l'ouvrage</w:t>
      </w:r>
      <w:r w:rsidR="007F0C4F">
        <w:rPr>
          <w:u w:val="single"/>
        </w:rPr>
        <w:t>:</w:t>
      </w:r>
    </w:p>
    <w:p w:rsidR="007F0C4F" w:rsidRPr="00C0295A" w:rsidRDefault="00382ACF" w:rsidP="008502C6">
      <w:pPr>
        <w:pBdr>
          <w:top w:val="single" w:sz="12" w:space="1" w:color="auto"/>
          <w:left w:val="single" w:sz="12" w:space="10" w:color="auto"/>
          <w:bottom w:val="single" w:sz="12" w:space="1" w:color="auto"/>
          <w:right w:val="single" w:sz="12" w:space="4" w:color="auto"/>
        </w:pBdr>
        <w:spacing w:after="240" w:line="300" w:lineRule="atLeast"/>
      </w:pPr>
      <w:r w:rsidRPr="00C0295A">
        <w:t>Préciser la localisation et les coordonnées des repères pour le tracé des ouvrages tant en plan qu'en niveau.</w:t>
      </w:r>
    </w:p>
    <w:p w:rsidR="00010294" w:rsidRDefault="00010294" w:rsidP="007F0C4F">
      <w:pPr>
        <w:rPr>
          <w:color w:val="FF0000"/>
          <w:u w:val="single"/>
        </w:rPr>
      </w:pPr>
    </w:p>
    <w:p w:rsidR="009C063D" w:rsidRPr="007F0C4F" w:rsidRDefault="009C063D" w:rsidP="007F0C4F">
      <w:pPr>
        <w:pBdr>
          <w:top w:val="single" w:sz="12" w:space="1" w:color="auto"/>
          <w:left w:val="single" w:sz="12" w:space="4" w:color="auto"/>
          <w:bottom w:val="single" w:sz="12" w:space="1" w:color="auto"/>
          <w:right w:val="single" w:sz="12" w:space="4" w:color="auto"/>
        </w:pBdr>
        <w:rPr>
          <w:u w:val="single"/>
        </w:rPr>
      </w:pPr>
      <w:r w:rsidRPr="007F0C4F">
        <w:rPr>
          <w:u w:val="single"/>
        </w:rPr>
        <w:t>Panneaux d'information :</w:t>
      </w:r>
    </w:p>
    <w:p w:rsidR="009C063D" w:rsidRPr="007F0C4F" w:rsidRDefault="009C063D" w:rsidP="007F0C4F">
      <w:pPr>
        <w:pBdr>
          <w:top w:val="single" w:sz="12" w:space="1" w:color="auto"/>
          <w:left w:val="single" w:sz="12" w:space="4" w:color="auto"/>
          <w:bottom w:val="single" w:sz="12" w:space="1" w:color="auto"/>
          <w:right w:val="single" w:sz="12" w:space="4" w:color="auto"/>
        </w:pBdr>
        <w:rPr>
          <w:i/>
        </w:rPr>
      </w:pPr>
      <w:r w:rsidRPr="007F0C4F">
        <w:rPr>
          <w:i/>
        </w:rPr>
        <w:t xml:space="preserve">Le cas échéant, indiquer : </w:t>
      </w:r>
    </w:p>
    <w:p w:rsidR="009C063D" w:rsidRPr="007F0C4F" w:rsidRDefault="009C063D" w:rsidP="007F0C4F">
      <w:pPr>
        <w:pBdr>
          <w:top w:val="single" w:sz="12" w:space="1" w:color="auto"/>
          <w:left w:val="single" w:sz="12" w:space="4" w:color="auto"/>
          <w:bottom w:val="single" w:sz="12" w:space="1" w:color="auto"/>
          <w:right w:val="single" w:sz="12" w:space="4" w:color="auto"/>
        </w:pBdr>
      </w:pPr>
      <w:r w:rsidRPr="007F0C4F">
        <w:t>Dès la notification des travaux, l’entrepreneur fait réaliser, à ses frais, deux panneaux d’information de chantier.</w:t>
      </w:r>
    </w:p>
    <w:p w:rsidR="009C063D" w:rsidRPr="007F0C4F" w:rsidRDefault="009C063D" w:rsidP="007F0C4F">
      <w:pPr>
        <w:pBdr>
          <w:top w:val="single" w:sz="12" w:space="1" w:color="auto"/>
          <w:left w:val="single" w:sz="12" w:space="4" w:color="auto"/>
          <w:bottom w:val="single" w:sz="12" w:space="1" w:color="auto"/>
          <w:right w:val="single" w:sz="12" w:space="4" w:color="auto"/>
        </w:pBdr>
      </w:pPr>
      <w:r w:rsidRPr="007F0C4F">
        <w:t>Le texte d'information est donné dès la notification.</w:t>
      </w:r>
    </w:p>
    <w:p w:rsidR="00010294" w:rsidRDefault="00010294" w:rsidP="007F0C4F">
      <w:pPr>
        <w:pBdr>
          <w:top w:val="single" w:sz="12" w:space="1" w:color="auto"/>
          <w:left w:val="single" w:sz="12" w:space="4" w:color="auto"/>
          <w:bottom w:val="single" w:sz="12" w:space="1" w:color="auto"/>
          <w:right w:val="single" w:sz="12" w:space="4" w:color="auto"/>
        </w:pBdr>
        <w:rPr>
          <w:i/>
        </w:rPr>
      </w:pPr>
      <w:r w:rsidRPr="00AD2228">
        <w:t>Conformément à la circulaire ministérielle du 3 août 2001 relative aux panneaux d'information, il y a lieu d'insérer le texte suivant: "L'entrepreneur réalise deux panneaux selon le modèle annexé au présent cahier spécial des charges et les place aux endroits indiqués par le fonctionnaire dirigeant. Il veille à leur entretien. A la fin des travaux, il en effectue le démontage et restitue les panneaux au dépôt communal sis à ... . L'ensemble des opérations précitées fait l'objet des postes nos ... du métré."</w:t>
      </w:r>
    </w:p>
    <w:p w:rsidR="007F0C4F" w:rsidRPr="007F0C4F" w:rsidRDefault="007F0C4F" w:rsidP="007F0C4F">
      <w:pPr>
        <w:pBdr>
          <w:top w:val="single" w:sz="12" w:space="1" w:color="auto"/>
          <w:left w:val="single" w:sz="12" w:space="4" w:color="auto"/>
          <w:bottom w:val="single" w:sz="12" w:space="1" w:color="auto"/>
          <w:right w:val="single" w:sz="12" w:space="4" w:color="auto"/>
        </w:pBdr>
      </w:pPr>
      <w:r w:rsidRPr="00763D87">
        <w:rPr>
          <w:i/>
        </w:rPr>
        <w:t>L'ensemble des opérations précitées fait l'objet des postes n</w:t>
      </w:r>
      <w:r w:rsidRPr="00763D87">
        <w:rPr>
          <w:i/>
          <w:vertAlign w:val="superscript"/>
        </w:rPr>
        <w:t>os</w:t>
      </w:r>
      <w:r w:rsidRPr="00763D87">
        <w:rPr>
          <w:i/>
        </w:rPr>
        <w:t xml:space="preserve"> ... du métré." </w:t>
      </w:r>
      <w:r w:rsidRPr="00763D87">
        <w:t xml:space="preserve">Pour la fourniture des autocollants, contacter </w:t>
      </w:r>
      <w:r>
        <w:t xml:space="preserve">Monsieur </w:t>
      </w:r>
      <w:proofErr w:type="spellStart"/>
      <w:r>
        <w:t>Deteye</w:t>
      </w:r>
      <w:proofErr w:type="spellEnd"/>
      <w:r w:rsidRPr="002A3A49">
        <w:t xml:space="preserve"> (081 77 33 </w:t>
      </w:r>
      <w:r>
        <w:t>52</w:t>
      </w:r>
      <w:r w:rsidRPr="002A3A49">
        <w:t xml:space="preserve"> - </w:t>
      </w:r>
      <w:r>
        <w:rPr>
          <w:rFonts w:cs="Arial"/>
          <w:szCs w:val="22"/>
        </w:rPr>
        <w:t>francois.deteye</w:t>
      </w:r>
      <w:r w:rsidRPr="002A3A49">
        <w:rPr>
          <w:rFonts w:cs="Arial"/>
          <w:szCs w:val="22"/>
        </w:rPr>
        <w:t>@spw.wallonie.be</w:t>
      </w:r>
      <w:r w:rsidRPr="002A3A49">
        <w:t>).</w:t>
      </w:r>
    </w:p>
    <w:p w:rsidR="007F0C4F" w:rsidRDefault="007F0C4F">
      <w:pPr>
        <w:spacing w:before="0" w:after="200" w:line="276" w:lineRule="auto"/>
        <w:jc w:val="left"/>
        <w:rPr>
          <w:u w:val="single"/>
        </w:rPr>
      </w:pPr>
    </w:p>
    <w:p w:rsidR="00010294" w:rsidRDefault="00010294">
      <w:pPr>
        <w:spacing w:before="0" w:after="200" w:line="276" w:lineRule="auto"/>
        <w:jc w:val="left"/>
        <w:rPr>
          <w:u w:val="single"/>
        </w:rPr>
      </w:pPr>
      <w:r>
        <w:rPr>
          <w:u w:val="single"/>
        </w:rPr>
        <w:br w:type="page"/>
      </w:r>
    </w:p>
    <w:p w:rsidR="00382ACF" w:rsidRPr="007F0C4F" w:rsidRDefault="00382ACF" w:rsidP="007F0C4F">
      <w:pPr>
        <w:pBdr>
          <w:top w:val="single" w:sz="12" w:space="1" w:color="auto"/>
          <w:left w:val="single" w:sz="12" w:space="4" w:color="auto"/>
          <w:bottom w:val="single" w:sz="12" w:space="1" w:color="auto"/>
          <w:right w:val="single" w:sz="12" w:space="4" w:color="auto"/>
        </w:pBdr>
        <w:spacing w:before="0" w:line="300" w:lineRule="atLeast"/>
        <w:rPr>
          <w:u w:val="single"/>
        </w:rPr>
      </w:pPr>
      <w:r w:rsidRPr="007F0C4F">
        <w:rPr>
          <w:u w:val="single"/>
        </w:rPr>
        <w:lastRenderedPageBreak/>
        <w:t>Matériaux provenant des démolitions</w:t>
      </w:r>
      <w:r w:rsidR="007F0C4F">
        <w:rPr>
          <w:u w:val="single"/>
        </w:rPr>
        <w:t>:</w:t>
      </w:r>
    </w:p>
    <w:p w:rsidR="00382ACF" w:rsidRPr="00C0295A" w:rsidRDefault="00382ACF" w:rsidP="007F0C4F">
      <w:pPr>
        <w:pBdr>
          <w:top w:val="single" w:sz="12" w:space="1" w:color="auto"/>
          <w:left w:val="single" w:sz="12" w:space="4" w:color="auto"/>
          <w:bottom w:val="single" w:sz="12" w:space="1" w:color="auto"/>
          <w:right w:val="single" w:sz="12" w:space="4" w:color="auto"/>
        </w:pBdr>
      </w:pPr>
      <w:r w:rsidRPr="00C0295A">
        <w:t xml:space="preserve">Le modèle de formulaire statistique est disponible au Département du Sol et des Déchets - DSD (Office wallon des déchets </w:t>
      </w:r>
      <w:r>
        <w:t xml:space="preserve">/ </w:t>
      </w:r>
      <w:r w:rsidRPr="00C0295A">
        <w:t>081/33.65.75).</w:t>
      </w:r>
    </w:p>
    <w:p w:rsidR="00382ACF" w:rsidRPr="00C0295A" w:rsidRDefault="00382ACF" w:rsidP="007F0C4F">
      <w:pPr>
        <w:pBdr>
          <w:top w:val="single" w:sz="12" w:space="1" w:color="auto"/>
          <w:left w:val="single" w:sz="12" w:space="4" w:color="auto"/>
          <w:bottom w:val="single" w:sz="12" w:space="1" w:color="auto"/>
          <w:right w:val="single" w:sz="12" w:space="4" w:color="auto"/>
        </w:pBdr>
        <w:tabs>
          <w:tab w:val="left" w:pos="280"/>
          <w:tab w:val="left" w:pos="1020"/>
        </w:tabs>
        <w:spacing w:line="300" w:lineRule="atLeast"/>
      </w:pPr>
      <w:r w:rsidRPr="00C0295A">
        <w:t>Indiquer conformément au document</w:t>
      </w:r>
      <w:r>
        <w:t xml:space="preserve"> de référence QUALIROUTES-A-8 "</w:t>
      </w:r>
      <w:r w:rsidRPr="00C0295A">
        <w:t>Identif</w:t>
      </w:r>
      <w:r>
        <w:t>ication des matériaux en place"</w:t>
      </w:r>
      <w:r w:rsidRPr="00C0295A">
        <w:t xml:space="preserve"> que l’estimation de la nature et de la quantité de matériaux provenant des démolitions est fournie </w:t>
      </w:r>
    </w:p>
    <w:p w:rsidR="00382ACF" w:rsidRPr="00C0295A" w:rsidRDefault="00382ACF" w:rsidP="007F0C4F">
      <w:pPr>
        <w:numPr>
          <w:ilvl w:val="0"/>
          <w:numId w:val="14"/>
        </w:numPr>
        <w:pBdr>
          <w:top w:val="single" w:sz="12" w:space="1" w:color="auto"/>
          <w:left w:val="single" w:sz="12" w:space="4" w:color="auto"/>
          <w:bottom w:val="single" w:sz="12" w:space="1" w:color="auto"/>
          <w:right w:val="single" w:sz="12" w:space="4" w:color="auto"/>
        </w:pBdr>
        <w:tabs>
          <w:tab w:val="left" w:pos="280"/>
          <w:tab w:val="left" w:pos="1020"/>
        </w:tabs>
        <w:spacing w:before="0" w:line="300" w:lineRule="atLeast"/>
        <w:ind w:left="284"/>
      </w:pPr>
      <w:r w:rsidRPr="00C0295A">
        <w:t xml:space="preserve">soit au plan terrier </w:t>
      </w:r>
    </w:p>
    <w:p w:rsidR="00382ACF" w:rsidRPr="00C0295A" w:rsidRDefault="00382ACF" w:rsidP="007F0C4F">
      <w:pPr>
        <w:numPr>
          <w:ilvl w:val="0"/>
          <w:numId w:val="14"/>
        </w:numPr>
        <w:pBdr>
          <w:top w:val="single" w:sz="12" w:space="1" w:color="auto"/>
          <w:left w:val="single" w:sz="12" w:space="4" w:color="auto"/>
          <w:bottom w:val="single" w:sz="12" w:space="1" w:color="auto"/>
          <w:right w:val="single" w:sz="12" w:space="4" w:color="auto"/>
        </w:pBdr>
        <w:tabs>
          <w:tab w:val="left" w:pos="280"/>
          <w:tab w:val="left" w:pos="1020"/>
        </w:tabs>
        <w:spacing w:before="0" w:line="300" w:lineRule="atLeast"/>
        <w:ind w:left="284"/>
      </w:pPr>
      <w:r w:rsidRPr="00C0295A">
        <w:t>soit dans une annexe au cahier spécial des charges.</w:t>
      </w:r>
    </w:p>
    <w:p w:rsidR="006B3928" w:rsidRDefault="00382ACF" w:rsidP="006B3928">
      <w:pPr>
        <w:spacing w:line="300" w:lineRule="atLeast"/>
        <w:rPr>
          <w:i/>
        </w:rPr>
      </w:pPr>
      <w:r w:rsidRPr="00C0295A">
        <w:rPr>
          <w:i/>
        </w:rPr>
        <w:t>Pour ce qui concerne l’évacuation des déchets</w:t>
      </w:r>
      <w:r>
        <w:rPr>
          <w:i/>
        </w:rPr>
        <w:t xml:space="preserve">, l’auteur de projet se </w:t>
      </w:r>
      <w:proofErr w:type="spellStart"/>
      <w:r>
        <w:rPr>
          <w:i/>
        </w:rPr>
        <w:t>référe</w:t>
      </w:r>
      <w:proofErr w:type="spellEnd"/>
      <w:r w:rsidRPr="00C0295A">
        <w:rPr>
          <w:i/>
        </w:rPr>
        <w:t xml:space="preserve"> utilement au </w:t>
      </w:r>
      <w:r w:rsidRPr="00C0295A">
        <w:rPr>
          <w:i/>
          <w:color w:val="0000FF"/>
        </w:rPr>
        <w:t>tableau D. 2.1.1.1</w:t>
      </w:r>
      <w:r>
        <w:rPr>
          <w:i/>
          <w:color w:val="0000FF"/>
        </w:rPr>
        <w:t>.</w:t>
      </w:r>
      <w:r w:rsidRPr="00C0295A">
        <w:rPr>
          <w:i/>
        </w:rPr>
        <w:t xml:space="preserve"> </w:t>
      </w:r>
      <w:proofErr w:type="gramStart"/>
      <w:r w:rsidRPr="00C0295A">
        <w:rPr>
          <w:i/>
        </w:rPr>
        <w:t>du</w:t>
      </w:r>
      <w:proofErr w:type="gramEnd"/>
      <w:r w:rsidRPr="00C0295A">
        <w:rPr>
          <w:i/>
        </w:rPr>
        <w:t xml:space="preserve"> chapitre D du CCT QUALIROUTES</w:t>
      </w:r>
    </w:p>
    <w:p w:rsidR="00382ACF" w:rsidRDefault="00382ACF" w:rsidP="00382ACF">
      <w:pPr>
        <w:pStyle w:val="Corpsdetexte"/>
      </w:pPr>
    </w:p>
    <w:p w:rsidR="00382ACF" w:rsidRDefault="00382ACF" w:rsidP="006B3928">
      <w:pPr>
        <w:pStyle w:val="Titre3"/>
      </w:pPr>
      <w:bookmarkStart w:id="42" w:name="_Toc503796642"/>
      <w:r>
        <w:t>A</w:t>
      </w:r>
      <w:r w:rsidR="00B53F38">
        <w:t>rticle</w:t>
      </w:r>
      <w:r>
        <w:t xml:space="preserve"> 86 §2 et §6:</w:t>
      </w:r>
      <w:r w:rsidR="00B53F38">
        <w:t xml:space="preserve"> amendes pour retard</w:t>
      </w:r>
      <w:bookmarkEnd w:id="42"/>
    </w:p>
    <w:p w:rsidR="00382ACF" w:rsidRDefault="00382ACF" w:rsidP="00382ACF">
      <w:pPr>
        <w:pBdr>
          <w:top w:val="single" w:sz="12" w:space="1" w:color="auto"/>
          <w:left w:val="single" w:sz="12" w:space="1" w:color="auto"/>
          <w:bottom w:val="single" w:sz="12" w:space="1" w:color="auto"/>
          <w:right w:val="single" w:sz="12" w:space="1" w:color="auto"/>
        </w:pBdr>
        <w:spacing w:line="300" w:lineRule="atLeast"/>
      </w:pPr>
      <w:r>
        <w:t>Le cas échéant, si le délai d’exécution est un critère d’attribution du marché, indiquer le mode de calcul des amendes.</w:t>
      </w:r>
    </w:p>
    <w:p w:rsidR="00382ACF" w:rsidRDefault="00382ACF" w:rsidP="006B3928">
      <w:pPr>
        <w:pStyle w:val="Titre3"/>
      </w:pPr>
      <w:bookmarkStart w:id="43" w:name="_Toc503796643"/>
      <w:r>
        <w:t>A</w:t>
      </w:r>
      <w:r w:rsidR="00B53F38">
        <w:t>rticle</w:t>
      </w:r>
      <w:r>
        <w:t xml:space="preserve"> 86 § 5: </w:t>
      </w:r>
      <w:r w:rsidR="00B53F38">
        <w:t>amendes pour retard</w:t>
      </w:r>
      <w:bookmarkEnd w:id="43"/>
    </w:p>
    <w:p w:rsidR="00382ACF" w:rsidRPr="00B53F38" w:rsidRDefault="00382ACF" w:rsidP="00B53F38">
      <w:pPr>
        <w:pBdr>
          <w:top w:val="single" w:sz="12" w:space="1" w:color="auto"/>
          <w:left w:val="single" w:sz="12" w:space="1" w:color="auto"/>
          <w:bottom w:val="single" w:sz="12" w:space="1" w:color="auto"/>
          <w:right w:val="single" w:sz="12" w:space="1" w:color="auto"/>
        </w:pBdr>
        <w:spacing w:line="300" w:lineRule="atLeast"/>
      </w:pPr>
      <w:r>
        <w:t>Si les documents du marché fixent des délais partiels sans fixer de parties ou de phases ayant leur montant propre et auxquelles ces délais sont attachés, il y a lieu d'indiquer si ces délais partiels sont de rigueur.</w:t>
      </w:r>
    </w:p>
    <w:p w:rsidR="00382ACF" w:rsidRPr="003B3F7B" w:rsidRDefault="00382ACF" w:rsidP="00382ACF">
      <w:pPr>
        <w:spacing w:line="300" w:lineRule="atLeast"/>
        <w:rPr>
          <w:i/>
        </w:rPr>
      </w:pPr>
      <w:r w:rsidRPr="003B3F7B">
        <w:rPr>
          <w:i/>
        </w:rPr>
        <w:t>Dans l’hypothèse de délais partiels de rigueur, il est possible de prévoir des amendes particulières à déterminer dans les documents du marché. A défaut, la formule prévue à l’article 86§1</w:t>
      </w:r>
      <w:r w:rsidRPr="003B3F7B">
        <w:rPr>
          <w:i/>
          <w:vertAlign w:val="superscript"/>
        </w:rPr>
        <w:t>er</w:t>
      </w:r>
      <w:r w:rsidRPr="003B3F7B">
        <w:rPr>
          <w:i/>
        </w:rPr>
        <w:t xml:space="preserve"> </w:t>
      </w:r>
      <w:r>
        <w:rPr>
          <w:i/>
        </w:rPr>
        <w:t xml:space="preserve">et §5 </w:t>
      </w:r>
      <w:r w:rsidRPr="003B3F7B">
        <w:rPr>
          <w:i/>
        </w:rPr>
        <w:t>de l’A</w:t>
      </w:r>
      <w:r>
        <w:rPr>
          <w:i/>
        </w:rPr>
        <w:t>R du 14 janvier 2013 s’applique</w:t>
      </w:r>
      <w:r w:rsidRPr="003B3F7B">
        <w:rPr>
          <w:i/>
        </w:rPr>
        <w:t>.</w:t>
      </w:r>
    </w:p>
    <w:p w:rsidR="00382ACF" w:rsidRDefault="00382ACF" w:rsidP="006B3928">
      <w:pPr>
        <w:pStyle w:val="Titre3"/>
      </w:pPr>
      <w:bookmarkStart w:id="44" w:name="_Toc503796644"/>
      <w:r>
        <w:t>A</w:t>
      </w:r>
      <w:r w:rsidR="00B53F38">
        <w:t>rticle</w:t>
      </w:r>
      <w:r>
        <w:t xml:space="preserve"> 92 § 2: </w:t>
      </w:r>
      <w:r w:rsidR="00B53F38" w:rsidRPr="00AD2228">
        <w:t>réceptions et garantie</w:t>
      </w:r>
      <w:bookmarkEnd w:id="44"/>
    </w:p>
    <w:p w:rsidR="00382ACF" w:rsidRDefault="00382ACF" w:rsidP="00E04197">
      <w:pPr>
        <w:pBdr>
          <w:top w:val="single" w:sz="12" w:space="1" w:color="auto"/>
          <w:left w:val="single" w:sz="12" w:space="1" w:color="auto"/>
          <w:bottom w:val="single" w:sz="12" w:space="1" w:color="auto"/>
          <w:right w:val="single" w:sz="12" w:space="4" w:color="auto"/>
        </w:pBdr>
        <w:spacing w:line="300" w:lineRule="atLeast"/>
      </w:pPr>
      <w:r>
        <w:t>- Dans des circonstances à motiver dans les documents du marché, indiquer que les délais de garantie sont portés à des durées inférieures ou supérieures à celles prévues à l’article 92 §2 alinéa 5 du chapitre A du CCT QUALIROUTES.</w:t>
      </w:r>
    </w:p>
    <w:p w:rsidR="00382ACF" w:rsidRDefault="00382ACF" w:rsidP="00E04197">
      <w:pPr>
        <w:pBdr>
          <w:top w:val="single" w:sz="12" w:space="1" w:color="auto"/>
          <w:left w:val="single" w:sz="12" w:space="1" w:color="auto"/>
          <w:bottom w:val="single" w:sz="12" w:space="1" w:color="auto"/>
          <w:right w:val="single" w:sz="12" w:space="4" w:color="auto"/>
        </w:pBdr>
        <w:spacing w:line="300" w:lineRule="atLeast"/>
      </w:pPr>
      <w:r>
        <w:t>- Motiver les circonstances précitées.</w:t>
      </w:r>
    </w:p>
    <w:p w:rsidR="00DB232D" w:rsidRDefault="00DB232D" w:rsidP="00E04197">
      <w:pPr>
        <w:pStyle w:val="Commentaires"/>
        <w:pBdr>
          <w:top w:val="single" w:sz="12" w:space="1" w:color="auto"/>
          <w:left w:val="single" w:sz="12" w:space="1" w:color="auto"/>
          <w:bottom w:val="single" w:sz="12" w:space="1" w:color="auto"/>
          <w:right w:val="single" w:sz="12" w:space="4" w:color="auto"/>
        </w:pBdr>
      </w:pPr>
      <w:r w:rsidRPr="00AD2228">
        <w:t>Pour rappel, le délai de garantie pour les enduisages est de 3 ans</w:t>
      </w:r>
      <w:r>
        <w:t>.</w:t>
      </w:r>
    </w:p>
    <w:p w:rsidR="009C063D" w:rsidRPr="007F0C4F" w:rsidRDefault="009C063D" w:rsidP="00E04197">
      <w:pPr>
        <w:pBdr>
          <w:top w:val="single" w:sz="12" w:space="1" w:color="auto"/>
          <w:left w:val="single" w:sz="12" w:space="1" w:color="auto"/>
          <w:bottom w:val="single" w:sz="12" w:space="1" w:color="auto"/>
          <w:right w:val="single" w:sz="12" w:space="4" w:color="auto"/>
        </w:pBdr>
        <w:rPr>
          <w:u w:val="single"/>
        </w:rPr>
      </w:pPr>
      <w:r w:rsidRPr="007F0C4F">
        <w:rPr>
          <w:u w:val="single"/>
        </w:rPr>
        <w:t>Pour les marchés de marquages routiers :</w:t>
      </w:r>
    </w:p>
    <w:p w:rsidR="009C063D" w:rsidRPr="007F0C4F" w:rsidRDefault="009C063D" w:rsidP="00E04197">
      <w:pPr>
        <w:pBdr>
          <w:top w:val="single" w:sz="12" w:space="1" w:color="auto"/>
          <w:left w:val="single" w:sz="12" w:space="1" w:color="auto"/>
          <w:bottom w:val="single" w:sz="12" w:space="1" w:color="auto"/>
          <w:right w:val="single" w:sz="12" w:space="4" w:color="auto"/>
        </w:pBdr>
      </w:pPr>
      <w:r w:rsidRPr="007F0C4F">
        <w:t>Les délais de garantie sont les suivants :</w:t>
      </w:r>
    </w:p>
    <w:p w:rsidR="009C063D" w:rsidRPr="007F0C4F" w:rsidRDefault="009C063D" w:rsidP="00E04197">
      <w:pPr>
        <w:pStyle w:val="Paragraphedeliste"/>
        <w:numPr>
          <w:ilvl w:val="0"/>
          <w:numId w:val="15"/>
        </w:numPr>
        <w:pBdr>
          <w:top w:val="single" w:sz="12" w:space="1" w:color="auto"/>
          <w:left w:val="single" w:sz="12" w:space="1" w:color="auto"/>
          <w:bottom w:val="single" w:sz="12" w:space="1" w:color="auto"/>
          <w:right w:val="single" w:sz="12" w:space="4" w:color="auto"/>
        </w:pBdr>
        <w:spacing w:before="0"/>
      </w:pPr>
      <w:r w:rsidRPr="007F0C4F">
        <w:t>1an pour les marquages routiers de la série S2100 ;</w:t>
      </w:r>
    </w:p>
    <w:p w:rsidR="00F3409E" w:rsidRPr="007F0C4F" w:rsidRDefault="009C063D" w:rsidP="00E04197">
      <w:pPr>
        <w:pStyle w:val="Paragraphedeliste"/>
        <w:numPr>
          <w:ilvl w:val="0"/>
          <w:numId w:val="15"/>
        </w:numPr>
        <w:pBdr>
          <w:top w:val="single" w:sz="12" w:space="1" w:color="auto"/>
          <w:left w:val="single" w:sz="12" w:space="1" w:color="auto"/>
          <w:bottom w:val="single" w:sz="12" w:space="1" w:color="auto"/>
          <w:right w:val="single" w:sz="12" w:space="4" w:color="auto"/>
        </w:pBdr>
        <w:spacing w:before="0"/>
      </w:pPr>
      <w:r w:rsidRPr="007F0C4F">
        <w:t xml:space="preserve">3 ans pour les marquages routiers des séries S2200 à S2500 compris et des séries S2700 à S3200 </w:t>
      </w:r>
      <w:proofErr w:type="spellStart"/>
      <w:r w:rsidRPr="007F0C4F">
        <w:t>comprisCompte</w:t>
      </w:r>
      <w:proofErr w:type="spellEnd"/>
      <w:r w:rsidRPr="007F0C4F">
        <w:t xml:space="preserve"> tenu de la possibilité de reconduction, prévue au point 15 du titre « Généralités » du présent Cahier Spécial des Charges, les réceptions provisoires et définitives se feront suivant le délai en vigueur au terme de chaque marché. </w:t>
      </w:r>
    </w:p>
    <w:p w:rsidR="009C063D" w:rsidRDefault="009C063D">
      <w:pPr>
        <w:spacing w:before="0" w:after="200" w:line="276" w:lineRule="auto"/>
        <w:jc w:val="left"/>
        <w:rPr>
          <w:rFonts w:eastAsiaTheme="majorEastAsia" w:cstheme="majorBidi"/>
          <w:b/>
          <w:bCs/>
          <w:sz w:val="32"/>
          <w:szCs w:val="28"/>
          <w:u w:val="single"/>
        </w:rPr>
      </w:pPr>
      <w:r>
        <w:br w:type="page"/>
      </w:r>
    </w:p>
    <w:p w:rsidR="00F3409E" w:rsidRDefault="00F3409E" w:rsidP="00F3409E">
      <w:pPr>
        <w:pStyle w:val="Titre1"/>
      </w:pPr>
      <w:bookmarkStart w:id="45" w:name="_Toc503796645"/>
      <w:r>
        <w:lastRenderedPageBreak/>
        <w:t>3</w:t>
      </w:r>
      <w:r w:rsidRPr="00F3409E">
        <w:rPr>
          <w:vertAlign w:val="superscript"/>
        </w:rPr>
        <w:t>ème</w:t>
      </w:r>
      <w:r>
        <w:t xml:space="preserve"> partie – Clauses techniques</w:t>
      </w:r>
      <w:bookmarkEnd w:id="45"/>
    </w:p>
    <w:p w:rsidR="00F3409E" w:rsidRPr="006B3928" w:rsidRDefault="00F3409E" w:rsidP="006B3928">
      <w:pPr>
        <w:pStyle w:val="Commentaires"/>
      </w:pPr>
    </w:p>
    <w:p w:rsidR="00DD5917" w:rsidRPr="00AD2228" w:rsidRDefault="00DD5917" w:rsidP="006B3928">
      <w:pPr>
        <w:pStyle w:val="Titre1"/>
      </w:pPr>
      <w:bookmarkStart w:id="46" w:name="_Toc503796646"/>
      <w:r w:rsidRPr="00580CAE">
        <w:t xml:space="preserve">Précisions et commentaires relatifs </w:t>
      </w:r>
      <w:r w:rsidR="00F3409E">
        <w:t>au</w:t>
      </w:r>
      <w:r w:rsidRPr="00580CAE">
        <w:t xml:space="preserve"> chapitre B </w:t>
      </w:r>
      <w:r w:rsidRPr="00580CAE">
        <w:br/>
        <w:t>Terminologie du CCT QUALIROUTES</w:t>
      </w:r>
      <w:bookmarkEnd w:id="46"/>
    </w:p>
    <w:p w:rsidR="00DD5917" w:rsidRPr="00DD5917" w:rsidRDefault="00DD5917" w:rsidP="006B3928">
      <w:pPr>
        <w:pStyle w:val="Titre2"/>
      </w:pPr>
      <w:bookmarkStart w:id="47" w:name="_Toc503796647"/>
      <w:r w:rsidRPr="00DD5917">
        <w:t>B. 1. Classification des routes</w:t>
      </w:r>
      <w:bookmarkEnd w:id="47"/>
    </w:p>
    <w:p w:rsidR="00DD5917" w:rsidRPr="00AD2228" w:rsidRDefault="00DD5917" w:rsidP="00DD5917">
      <w:pPr>
        <w:pStyle w:val="Encadr"/>
      </w:pPr>
      <w:r w:rsidRPr="00AD2228">
        <w:t>Le cas échéant, préciser ici le ou les réseaux auxquels</w:t>
      </w:r>
      <w:r>
        <w:t xml:space="preserve"> appartiennent les routes objet</w:t>
      </w:r>
      <w:r w:rsidRPr="00AD2228">
        <w:t xml:space="preserve"> du marché.</w:t>
      </w:r>
    </w:p>
    <w:p w:rsidR="00DD5917" w:rsidRPr="00AD2228" w:rsidRDefault="00DD5917" w:rsidP="00DD5917">
      <w:pPr>
        <w:pStyle w:val="Commentaires"/>
      </w:pPr>
      <w:r w:rsidRPr="00AD2228">
        <w:t>Cette classification est appliquée aux chapitres C, E, F, G, H, I et M.</w:t>
      </w:r>
    </w:p>
    <w:p w:rsidR="00DD5917" w:rsidRPr="00DD5917" w:rsidRDefault="00DD5917" w:rsidP="006B3928">
      <w:pPr>
        <w:pStyle w:val="Titre3"/>
      </w:pPr>
      <w:bookmarkStart w:id="48" w:name="_Toc503796648"/>
      <w:r w:rsidRPr="00DD5917">
        <w:t>B. 3.11. Lexi</w:t>
      </w:r>
      <w:r w:rsidRPr="006B3928">
        <w:t>q</w:t>
      </w:r>
      <w:r w:rsidRPr="00DD5917">
        <w:t>ue - Dépôt</w:t>
      </w:r>
      <w:bookmarkEnd w:id="48"/>
    </w:p>
    <w:p w:rsidR="00DD5917" w:rsidRPr="00AD2228" w:rsidRDefault="00DD5917" w:rsidP="00DD5917">
      <w:pPr>
        <w:pStyle w:val="Encadr"/>
      </w:pPr>
      <w:r w:rsidRPr="00AD2228">
        <w:t>Le cas échéant, préciser ici l’adresse du lieu de dépôt.</w:t>
      </w:r>
    </w:p>
    <w:p w:rsidR="00DD5917" w:rsidRPr="00AD2228" w:rsidRDefault="00DD5917" w:rsidP="00DD5917">
      <w:pPr>
        <w:ind w:left="284"/>
        <w:rPr>
          <w:rFonts w:cs="Arial"/>
          <w:i/>
          <w:highlight w:val="yellow"/>
        </w:rPr>
      </w:pPr>
    </w:p>
    <w:p w:rsidR="00DD5917" w:rsidRPr="00AD2228" w:rsidRDefault="00DD5917" w:rsidP="00DD5917">
      <w:pPr>
        <w:spacing w:after="200"/>
        <w:rPr>
          <w:rFonts w:eastAsiaTheme="majorEastAsia" w:cs="Arial"/>
          <w:b/>
          <w:bCs/>
          <w:sz w:val="28"/>
          <w:szCs w:val="28"/>
        </w:rPr>
      </w:pPr>
      <w:r w:rsidRPr="00AD2228">
        <w:rPr>
          <w:rFonts w:cs="Arial"/>
        </w:rPr>
        <w:br w:type="page"/>
      </w:r>
    </w:p>
    <w:p w:rsidR="00DD5917" w:rsidRPr="00580CAE" w:rsidRDefault="00DD5917" w:rsidP="006B3928">
      <w:pPr>
        <w:pStyle w:val="Titre1"/>
      </w:pPr>
      <w:bookmarkStart w:id="49" w:name="_Toc503796649"/>
      <w:r w:rsidRPr="00580CAE">
        <w:lastRenderedPageBreak/>
        <w:t xml:space="preserve">Précisions et commentaires relatifs </w:t>
      </w:r>
      <w:r w:rsidR="00F3409E">
        <w:t>au</w:t>
      </w:r>
      <w:r w:rsidRPr="00580CAE">
        <w:t xml:space="preserve"> chapitre D </w:t>
      </w:r>
      <w:r>
        <w:br/>
      </w:r>
      <w:r w:rsidRPr="00580CAE">
        <w:t>Travaux préparatoires et démolitions sélectives du CCT QUALIROUTES</w:t>
      </w:r>
      <w:bookmarkEnd w:id="49"/>
    </w:p>
    <w:p w:rsidR="00DD5917" w:rsidRPr="00DD5917" w:rsidRDefault="00DD5917" w:rsidP="006B3928">
      <w:pPr>
        <w:pStyle w:val="Titre4"/>
      </w:pPr>
      <w:r w:rsidRPr="00DD5917">
        <w:t>D. 2.1.1.2. Fraisage de couches de chaussée</w:t>
      </w:r>
    </w:p>
    <w:p w:rsidR="00DD5917" w:rsidRPr="00AD2228" w:rsidRDefault="00DD5917" w:rsidP="00DD5917">
      <w:pPr>
        <w:pStyle w:val="Encadr"/>
      </w:pPr>
      <w:r w:rsidRPr="00AD2228">
        <w:t>Définir l’épaisseur totale à démolir, l’identification de chaque couche et des interfaces.</w:t>
      </w:r>
    </w:p>
    <w:p w:rsidR="00DD5917" w:rsidRPr="00AD2228" w:rsidRDefault="00DD5917" w:rsidP="00DD5917">
      <w:pPr>
        <w:pStyle w:val="Encadr"/>
      </w:pPr>
      <w:r w:rsidRPr="00AD2228">
        <w:t>Le cas échéant (en cas de revêtement en enrobé bitumineux), indiquer si la surface fraisée fait l’objet d’un nettoyage sous haute pression tel que décrit au D. 2.1.1.2.</w:t>
      </w:r>
    </w:p>
    <w:p w:rsidR="00DD5917" w:rsidRPr="00AD2228" w:rsidRDefault="00DD5917" w:rsidP="00DD5917">
      <w:pPr>
        <w:pStyle w:val="Encadr"/>
      </w:pPr>
      <w:r w:rsidRPr="00AD2228">
        <w:t>Décrire</w:t>
      </w:r>
      <w:r>
        <w:t>,</w:t>
      </w:r>
      <w:r w:rsidRPr="00AD2228">
        <w:t xml:space="preserve"> le cas échéant</w:t>
      </w:r>
      <w:r>
        <w:t>,</w:t>
      </w:r>
      <w:r w:rsidRPr="00AD2228">
        <w:t xml:space="preserve"> les opérations de dégagement des joints de dilation après fraisage.</w:t>
      </w:r>
    </w:p>
    <w:p w:rsidR="00DD5917" w:rsidRPr="00AD2228" w:rsidRDefault="00DD5917" w:rsidP="00DD5917">
      <w:pPr>
        <w:ind w:left="284"/>
        <w:rPr>
          <w:rFonts w:cs="Arial"/>
          <w:b/>
          <w:i/>
          <w:highlight w:val="yellow"/>
        </w:rPr>
      </w:pPr>
    </w:p>
    <w:p w:rsidR="00DD5917" w:rsidRPr="00AD2228" w:rsidRDefault="00DD5917" w:rsidP="00DD5917">
      <w:pPr>
        <w:spacing w:after="200"/>
        <w:rPr>
          <w:rFonts w:cs="Arial"/>
          <w:b/>
          <w:i/>
          <w:highlight w:val="yellow"/>
        </w:rPr>
      </w:pPr>
      <w:r w:rsidRPr="00AD2228">
        <w:rPr>
          <w:rFonts w:cs="Arial"/>
          <w:b/>
          <w:i/>
          <w:highlight w:val="yellow"/>
        </w:rPr>
        <w:br w:type="page"/>
      </w:r>
    </w:p>
    <w:p w:rsidR="00DD5917" w:rsidRPr="006B3928" w:rsidRDefault="00DD5917" w:rsidP="006B3928">
      <w:pPr>
        <w:pStyle w:val="Titre1"/>
      </w:pPr>
      <w:bookmarkStart w:id="50" w:name="_Toc503796650"/>
      <w:r w:rsidRPr="006B3928">
        <w:lastRenderedPageBreak/>
        <w:t>Précis</w:t>
      </w:r>
      <w:r w:rsidR="006B3928" w:rsidRPr="006B3928">
        <w:t>ions et commentaires relatifs au</w:t>
      </w:r>
      <w:r w:rsidRPr="006B3928">
        <w:t xml:space="preserve"> chapitre E </w:t>
      </w:r>
      <w:r w:rsidRPr="006B3928">
        <w:br/>
        <w:t>Terrassements généraux et particuliers du CCT QUALIROUTES</w:t>
      </w:r>
      <w:bookmarkEnd w:id="50"/>
    </w:p>
    <w:p w:rsidR="00DD5917" w:rsidRDefault="00DD5917" w:rsidP="00DD5917">
      <w:pPr>
        <w:spacing w:after="200"/>
        <w:rPr>
          <w:rFonts w:cs="Arial"/>
        </w:rPr>
      </w:pPr>
    </w:p>
    <w:p w:rsidR="00DD5917" w:rsidRPr="00AD2228" w:rsidRDefault="00DD5917" w:rsidP="00DD5917">
      <w:pPr>
        <w:spacing w:after="200"/>
        <w:rPr>
          <w:rFonts w:cs="Arial"/>
        </w:rPr>
      </w:pPr>
      <w:r w:rsidRPr="00AD2228">
        <w:rPr>
          <w:rFonts w:cs="Arial"/>
        </w:rPr>
        <w:t>Ce chapitre n’est à compléter que si des interventions au niveau de la structure de voirie sont envisagées</w:t>
      </w:r>
      <w:r>
        <w:rPr>
          <w:rFonts w:cs="Arial"/>
        </w:rPr>
        <w:t>.</w:t>
      </w:r>
    </w:p>
    <w:p w:rsidR="00DD5917" w:rsidRPr="00AD2228" w:rsidRDefault="00DD5917" w:rsidP="00DD5917">
      <w:pPr>
        <w:spacing w:after="200"/>
        <w:rPr>
          <w:rFonts w:cs="Arial"/>
        </w:rPr>
      </w:pPr>
      <w:r w:rsidRPr="00AD2228">
        <w:rPr>
          <w:rFonts w:cs="Arial"/>
        </w:rPr>
        <w:t xml:space="preserve">Il y a lieu, dans ce cas, de se référer au chapitre E du modèle de CSC disponible sur le site internet </w:t>
      </w:r>
      <w:r>
        <w:rPr>
          <w:rFonts w:cs="Arial"/>
        </w:rPr>
        <w:t>"</w:t>
      </w:r>
      <w:r w:rsidRPr="00686BC1">
        <w:rPr>
          <w:rFonts w:cs="Arial"/>
        </w:rPr>
        <w:t>http://qc.spw.wallonie.be</w:t>
      </w:r>
      <w:r>
        <w:rPr>
          <w:rFonts w:cs="Arial"/>
        </w:rPr>
        <w:t>"</w:t>
      </w:r>
      <w:r>
        <w:rPr>
          <w:rFonts w:cs="Arial"/>
          <w:i/>
        </w:rPr>
        <w:t>.</w:t>
      </w:r>
    </w:p>
    <w:p w:rsidR="00DD5917" w:rsidRPr="00AD2228" w:rsidRDefault="00DD5917" w:rsidP="00DD5917">
      <w:pPr>
        <w:spacing w:after="200"/>
        <w:rPr>
          <w:rFonts w:cs="Arial"/>
          <w:b/>
          <w:i/>
          <w:highlight w:val="yellow"/>
        </w:rPr>
      </w:pPr>
      <w:r w:rsidRPr="00AD2228">
        <w:rPr>
          <w:rFonts w:cs="Arial"/>
          <w:b/>
          <w:i/>
          <w:highlight w:val="yellow"/>
        </w:rPr>
        <w:br w:type="page"/>
      </w:r>
    </w:p>
    <w:p w:rsidR="00DD5917" w:rsidRPr="00AD2228" w:rsidRDefault="00DD5917" w:rsidP="006B3928">
      <w:pPr>
        <w:pStyle w:val="Titre1"/>
      </w:pPr>
      <w:bookmarkStart w:id="51" w:name="_Toc503796651"/>
      <w:r w:rsidRPr="00AD2228">
        <w:lastRenderedPageBreak/>
        <w:t>Précis</w:t>
      </w:r>
      <w:r w:rsidR="006B3928">
        <w:t>ions et commentaires relatifs au</w:t>
      </w:r>
      <w:r w:rsidRPr="00AD2228">
        <w:t xml:space="preserve"> chapitre F </w:t>
      </w:r>
      <w:r>
        <w:br/>
      </w:r>
      <w:r w:rsidRPr="00AD2228">
        <w:t>sous-fondations et fondations du CCT QUALIROUTES</w:t>
      </w:r>
      <w:bookmarkEnd w:id="51"/>
    </w:p>
    <w:p w:rsidR="00DD5917" w:rsidRDefault="00DD5917" w:rsidP="00DD5917">
      <w:pPr>
        <w:spacing w:after="200"/>
        <w:rPr>
          <w:rFonts w:cs="Arial"/>
        </w:rPr>
      </w:pPr>
    </w:p>
    <w:p w:rsidR="00DD5917" w:rsidRPr="00AD2228" w:rsidRDefault="00DD5917" w:rsidP="00DD5917">
      <w:pPr>
        <w:spacing w:after="200"/>
        <w:rPr>
          <w:rFonts w:cs="Arial"/>
        </w:rPr>
      </w:pPr>
      <w:r w:rsidRPr="00AD2228">
        <w:rPr>
          <w:rFonts w:cs="Arial"/>
        </w:rPr>
        <w:t>Ce chapitre n’est à compléter que si des interventions au niveau de la structure de voirie sont envisagées</w:t>
      </w:r>
      <w:r>
        <w:rPr>
          <w:rFonts w:cs="Arial"/>
        </w:rPr>
        <w:t>.</w:t>
      </w:r>
    </w:p>
    <w:p w:rsidR="00DD5917" w:rsidRPr="00AD2228" w:rsidRDefault="00DD5917" w:rsidP="00DD5917">
      <w:pPr>
        <w:spacing w:after="200"/>
        <w:rPr>
          <w:rFonts w:cs="Arial"/>
        </w:rPr>
      </w:pPr>
      <w:r w:rsidRPr="00AD2228">
        <w:rPr>
          <w:rFonts w:cs="Arial"/>
        </w:rPr>
        <w:t xml:space="preserve">Il y a lieu, dans ce cas, de se référer au chapitre </w:t>
      </w:r>
      <w:r>
        <w:rPr>
          <w:rFonts w:cs="Arial"/>
        </w:rPr>
        <w:t>F</w:t>
      </w:r>
      <w:r w:rsidRPr="00AD2228">
        <w:rPr>
          <w:rFonts w:cs="Arial"/>
        </w:rPr>
        <w:t xml:space="preserve"> du modèle de CSC disponible sur le site internet </w:t>
      </w:r>
      <w:r>
        <w:rPr>
          <w:rFonts w:cs="Arial"/>
        </w:rPr>
        <w:t>"</w:t>
      </w:r>
      <w:r w:rsidRPr="00686BC1">
        <w:rPr>
          <w:rFonts w:cs="Arial"/>
        </w:rPr>
        <w:t>http://qc.spw.wallonie.be</w:t>
      </w:r>
      <w:r>
        <w:rPr>
          <w:rFonts w:cs="Arial"/>
        </w:rPr>
        <w:t>"</w:t>
      </w:r>
      <w:r w:rsidRPr="00686BC1">
        <w:rPr>
          <w:rFonts w:cs="Arial"/>
        </w:rPr>
        <w:t>.</w:t>
      </w:r>
    </w:p>
    <w:p w:rsidR="00DD5917" w:rsidRPr="00AD2228" w:rsidRDefault="00DD5917" w:rsidP="00DD5917">
      <w:pPr>
        <w:spacing w:after="200"/>
        <w:rPr>
          <w:rFonts w:cs="Arial"/>
          <w:b/>
          <w:i/>
          <w:highlight w:val="yellow"/>
        </w:rPr>
      </w:pPr>
      <w:r w:rsidRPr="00AD2228">
        <w:rPr>
          <w:rFonts w:cs="Arial"/>
          <w:b/>
          <w:i/>
          <w:highlight w:val="yellow"/>
        </w:rPr>
        <w:br w:type="page"/>
      </w:r>
    </w:p>
    <w:p w:rsidR="00DD5917" w:rsidRPr="00AD2228" w:rsidRDefault="00DD5917" w:rsidP="006B3928">
      <w:pPr>
        <w:pStyle w:val="Titre1"/>
      </w:pPr>
      <w:bookmarkStart w:id="52" w:name="_Toc503796652"/>
      <w:r w:rsidRPr="00AD2228">
        <w:lastRenderedPageBreak/>
        <w:t xml:space="preserve">Précisions et commentaires relatifs </w:t>
      </w:r>
      <w:r w:rsidR="006B3928">
        <w:t>au</w:t>
      </w:r>
      <w:r w:rsidRPr="00AD2228">
        <w:t xml:space="preserve"> chapitre G </w:t>
      </w:r>
      <w:r w:rsidRPr="00AD2228">
        <w:br/>
        <w:t>Revêtements du CCT QUALIROUTES</w:t>
      </w:r>
      <w:bookmarkEnd w:id="52"/>
    </w:p>
    <w:p w:rsidR="00DD5917" w:rsidRPr="00AD2228" w:rsidRDefault="00DD5917" w:rsidP="00DD5917">
      <w:pPr>
        <w:pStyle w:val="Commentaires"/>
      </w:pPr>
      <w:r>
        <w:t>Afin d'assister l'auteur de projet dans le choix des revêtements à mettre en œuvre, le site 'qc.spw.wallonie.be' propose une note technique (3.1) et son annexe qui décrivent des solutions types en fonction du réseau routier.</w:t>
      </w:r>
    </w:p>
    <w:p w:rsidR="00DD5917" w:rsidRPr="00DD5917" w:rsidRDefault="00DD5917" w:rsidP="006B3928">
      <w:pPr>
        <w:pStyle w:val="Titre5"/>
      </w:pPr>
      <w:r w:rsidRPr="00DD5917">
        <w:t xml:space="preserve">G. 2.2.2.1.1. Enrobés a squelette sableux - couches de liaison et de </w:t>
      </w:r>
      <w:proofErr w:type="spellStart"/>
      <w:r w:rsidRPr="00DD5917">
        <w:t>reprofilage</w:t>
      </w:r>
      <w:proofErr w:type="spellEnd"/>
    </w:p>
    <w:p w:rsidR="00DD5917" w:rsidRPr="00AD2228" w:rsidRDefault="00DD5917" w:rsidP="00DD5917">
      <w:pPr>
        <w:pStyle w:val="Encadr"/>
        <w:rPr>
          <w:b/>
        </w:rPr>
      </w:pPr>
      <w:r w:rsidRPr="00AD2228">
        <w:t>Spécifier le type de bitume utilisé et sa classe. Ex.: bitume routier (x = 1), classe 35/50 ou 50/70</w:t>
      </w:r>
      <w:r>
        <w:t>.</w:t>
      </w:r>
    </w:p>
    <w:p w:rsidR="00DD5917" w:rsidRPr="00AD2228" w:rsidRDefault="00DD5917" w:rsidP="00DD5917">
      <w:pPr>
        <w:pStyle w:val="Puces1"/>
        <w:ind w:left="357" w:hanging="357"/>
        <w:rPr>
          <w:rFonts w:cs="Arial"/>
          <w:i/>
        </w:rPr>
      </w:pPr>
      <w:r w:rsidRPr="00AD2228">
        <w:rPr>
          <w:rFonts w:cs="Arial"/>
          <w:i/>
        </w:rPr>
        <w:t>Les bitumes additionnés, les bitumes durs et les bitumes à indice de pénétration positif sont utilisés pour améliorer la résistance aux déformations permanentes et/ou à la fissuration des enrobés.</w:t>
      </w:r>
    </w:p>
    <w:p w:rsidR="00DD5917" w:rsidRPr="00AD2228" w:rsidRDefault="00DD5917" w:rsidP="00DD5917">
      <w:pPr>
        <w:pStyle w:val="Puces1"/>
        <w:ind w:left="357" w:hanging="357"/>
        <w:rPr>
          <w:rFonts w:cs="Arial"/>
          <w:i/>
        </w:rPr>
      </w:pPr>
      <w:r w:rsidRPr="00AD2228">
        <w:rPr>
          <w:rFonts w:cs="Arial"/>
          <w:i/>
        </w:rPr>
        <w:t>Emploi des additifs:</w:t>
      </w:r>
    </w:p>
    <w:p w:rsidR="00DD5917" w:rsidRPr="00AD2228" w:rsidRDefault="00DD5917" w:rsidP="00DD5917">
      <w:pPr>
        <w:numPr>
          <w:ilvl w:val="0"/>
          <w:numId w:val="5"/>
        </w:numPr>
        <w:tabs>
          <w:tab w:val="clear" w:pos="1860"/>
          <w:tab w:val="num" w:pos="720"/>
        </w:tabs>
        <w:spacing w:before="120"/>
        <w:ind w:left="714" w:hanging="357"/>
        <w:rPr>
          <w:rFonts w:cs="Arial"/>
          <w:i/>
        </w:rPr>
      </w:pPr>
      <w:r w:rsidRPr="00AD2228">
        <w:rPr>
          <w:rFonts w:cs="Arial"/>
          <w:i/>
        </w:rPr>
        <w:t>asphalte naturel: remplacer 10 % du liant par de l’asphalte naturel</w:t>
      </w:r>
      <w:r>
        <w:rPr>
          <w:rFonts w:cs="Arial"/>
          <w:i/>
        </w:rPr>
        <w:t>;</w:t>
      </w:r>
    </w:p>
    <w:p w:rsidR="00DD5917" w:rsidRPr="00AD2228" w:rsidRDefault="00DD5917" w:rsidP="00DD5917">
      <w:pPr>
        <w:numPr>
          <w:ilvl w:val="0"/>
          <w:numId w:val="5"/>
        </w:numPr>
        <w:tabs>
          <w:tab w:val="clear" w:pos="1860"/>
          <w:tab w:val="num" w:pos="720"/>
        </w:tabs>
        <w:spacing w:before="120"/>
        <w:ind w:left="714" w:hanging="357"/>
        <w:rPr>
          <w:rFonts w:cs="Arial"/>
          <w:i/>
        </w:rPr>
      </w:pPr>
      <w:r w:rsidRPr="00AD2228">
        <w:rPr>
          <w:rFonts w:cs="Arial"/>
          <w:i/>
        </w:rPr>
        <w:t>polyoléfines: remplacer 5 à 12 % du liant par des polyoléfines (% exprimé par rapport à la masse du liant)</w:t>
      </w:r>
      <w:r>
        <w:rPr>
          <w:rFonts w:cs="Arial"/>
          <w:i/>
        </w:rPr>
        <w:t>.</w:t>
      </w:r>
    </w:p>
    <w:p w:rsidR="00DD5917" w:rsidRPr="00AD2228" w:rsidRDefault="00DD5917" w:rsidP="00DD5917">
      <w:pPr>
        <w:pStyle w:val="Puces1"/>
        <w:ind w:left="357" w:hanging="357"/>
        <w:rPr>
          <w:rFonts w:cs="Arial"/>
          <w:i/>
        </w:rPr>
      </w:pPr>
      <w:r w:rsidRPr="00AD2228">
        <w:rPr>
          <w:rFonts w:cs="Arial"/>
          <w:i/>
        </w:rPr>
        <w:t>Si des problèmes de fatigue ou de fissuration réflective particuliers sont à craindre, l’utilisation d’un bitume polymère neuf peut être recommandée.</w:t>
      </w:r>
    </w:p>
    <w:p w:rsidR="00DD5917" w:rsidRPr="00AD2228" w:rsidRDefault="00DD5917" w:rsidP="00DD5917">
      <w:pPr>
        <w:pStyle w:val="Puces1"/>
        <w:ind w:left="357" w:hanging="357"/>
        <w:rPr>
          <w:rFonts w:cs="Arial"/>
          <w:i/>
        </w:rPr>
      </w:pPr>
      <w:r w:rsidRPr="00AD2228">
        <w:rPr>
          <w:rFonts w:cs="Arial"/>
          <w:i/>
        </w:rPr>
        <w:t>La mise en œuvre manuelle d’enrobé</w:t>
      </w:r>
      <w:r>
        <w:rPr>
          <w:rFonts w:cs="Arial"/>
          <w:i/>
        </w:rPr>
        <w:t>s</w:t>
      </w:r>
      <w:r w:rsidRPr="00AD2228">
        <w:rPr>
          <w:rFonts w:cs="Arial"/>
          <w:i/>
        </w:rPr>
        <w:t xml:space="preserve"> contenant un bitume polymère neuf ou additionné s’avère généralement difficile.</w:t>
      </w:r>
    </w:p>
    <w:p w:rsidR="00DD5917" w:rsidRPr="00AD2228" w:rsidRDefault="00DD5917" w:rsidP="00DD5917">
      <w:pPr>
        <w:pStyle w:val="Puces1"/>
        <w:ind w:left="357" w:hanging="357"/>
        <w:rPr>
          <w:rFonts w:cs="Arial"/>
          <w:i/>
        </w:rPr>
      </w:pPr>
      <w:r w:rsidRPr="00AD2228">
        <w:rPr>
          <w:rFonts w:cs="Arial"/>
          <w:i/>
        </w:rPr>
        <w:t>Le choix du type de liant sera en principe fait en fonction des critères de performance précisés au CCT et, dans certains cas, des difficultés de mise en œuvre. Il peut être laissé au choix de l’entrepreneur.</w:t>
      </w:r>
    </w:p>
    <w:p w:rsidR="00DD5917" w:rsidRPr="00AD2228" w:rsidRDefault="00DD5917" w:rsidP="00DD5917">
      <w:pPr>
        <w:pStyle w:val="Puces1"/>
        <w:ind w:left="284" w:hanging="357"/>
        <w:rPr>
          <w:rFonts w:cs="Arial"/>
          <w:i/>
        </w:rPr>
      </w:pPr>
      <w:r>
        <w:rPr>
          <w:rFonts w:cs="Arial"/>
          <w:i/>
        </w:rPr>
        <w:t>D</w:t>
      </w:r>
      <w:r w:rsidRPr="00AD2228">
        <w:rPr>
          <w:rFonts w:cs="Arial"/>
          <w:i/>
        </w:rPr>
        <w:t>ans un souci d’amélioration de la qualité et de la durabilité des revêtements en enrobé</w:t>
      </w:r>
      <w:r>
        <w:rPr>
          <w:rFonts w:cs="Arial"/>
          <w:i/>
        </w:rPr>
        <w:t>s</w:t>
      </w:r>
      <w:r w:rsidRPr="00AD2228">
        <w:rPr>
          <w:rFonts w:cs="Arial"/>
          <w:i/>
        </w:rPr>
        <w:t xml:space="preserve"> bitumineux, seuls les bitumes modifiés (bitumes durs, bitumes à indice de pénétration positif et bitumes polymères) sont autorisés sur les routes des réseaux I et </w:t>
      </w:r>
      <w:proofErr w:type="spellStart"/>
      <w:r w:rsidRPr="00AD2228">
        <w:rPr>
          <w:rFonts w:cs="Arial"/>
          <w:i/>
        </w:rPr>
        <w:t>IIa</w:t>
      </w:r>
      <w:proofErr w:type="spellEnd"/>
      <w:r w:rsidRPr="00AD2228">
        <w:rPr>
          <w:rFonts w:cs="Arial"/>
          <w:i/>
        </w:rPr>
        <w:t xml:space="preserve">. Dans les couches de liaison et de </w:t>
      </w:r>
      <w:proofErr w:type="spellStart"/>
      <w:r w:rsidRPr="00AD2228">
        <w:rPr>
          <w:rFonts w:cs="Arial"/>
          <w:i/>
        </w:rPr>
        <w:t>reprofilage</w:t>
      </w:r>
      <w:proofErr w:type="spellEnd"/>
      <w:r w:rsidRPr="00AD2228">
        <w:rPr>
          <w:rFonts w:cs="Arial"/>
          <w:i/>
        </w:rPr>
        <w:t>, l’utilisation de bitumes routiers avec additifs (asphalte naturel, polyoléfines …) est également autorisée.</w:t>
      </w:r>
    </w:p>
    <w:p w:rsidR="00DD5917" w:rsidRPr="00DD5917" w:rsidRDefault="00DD5917" w:rsidP="006B3928">
      <w:pPr>
        <w:pStyle w:val="Titre5"/>
      </w:pPr>
      <w:r w:rsidRPr="00DD5917">
        <w:t>G. 2.2.2.1.2. Enrobés a squelette sableux - couches de roulement</w:t>
      </w:r>
    </w:p>
    <w:p w:rsidR="00DD5917" w:rsidRPr="00AD2228" w:rsidRDefault="00DD5917" w:rsidP="00DD5917">
      <w:pPr>
        <w:pStyle w:val="Encadr"/>
        <w:rPr>
          <w:b/>
        </w:rPr>
      </w:pPr>
      <w:r w:rsidRPr="00AD2228">
        <w:t>Spécifier le type de bitume utilisé et sa classe. Ex.: bitume routier (x = 1), classe 35/50 ou 50/70</w:t>
      </w:r>
      <w:r>
        <w:t>.</w:t>
      </w:r>
    </w:p>
    <w:p w:rsidR="00DD5917" w:rsidRPr="00AD2228" w:rsidRDefault="00DD5917" w:rsidP="00DD5917">
      <w:pPr>
        <w:pStyle w:val="Puces1"/>
        <w:ind w:left="357" w:hanging="357"/>
        <w:rPr>
          <w:rFonts w:cs="Arial"/>
          <w:i/>
        </w:rPr>
      </w:pPr>
      <w:r w:rsidRPr="00AD2228">
        <w:rPr>
          <w:rFonts w:cs="Arial"/>
          <w:i/>
        </w:rPr>
        <w:t>Les enrobés à squelette sableux sont de préférence utilisés sur les routes des réseaux II et III.</w:t>
      </w:r>
    </w:p>
    <w:p w:rsidR="00DD5917" w:rsidRPr="00AD2228" w:rsidRDefault="00DD5917" w:rsidP="00DD5917">
      <w:pPr>
        <w:pStyle w:val="Puces1"/>
        <w:ind w:left="357" w:hanging="357"/>
        <w:rPr>
          <w:rFonts w:cs="Arial"/>
          <w:i/>
        </w:rPr>
      </w:pPr>
      <w:r w:rsidRPr="00AD2228">
        <w:rPr>
          <w:rFonts w:cs="Arial"/>
          <w:i/>
        </w:rPr>
        <w:t>La pose en épaisseur variable d’enrobé</w:t>
      </w:r>
      <w:r>
        <w:rPr>
          <w:rFonts w:cs="Arial"/>
          <w:i/>
        </w:rPr>
        <w:t>s</w:t>
      </w:r>
      <w:r w:rsidRPr="00AD2228">
        <w:rPr>
          <w:rFonts w:cs="Arial"/>
          <w:i/>
        </w:rPr>
        <w:t xml:space="preserve"> à squelette sableux pour couche de roulement est tolérée sur les routes des réseaux II et III. Dans la mesure du possible, on lui préfère cependant un </w:t>
      </w:r>
      <w:proofErr w:type="spellStart"/>
      <w:r w:rsidRPr="00AD2228">
        <w:rPr>
          <w:rFonts w:cs="Arial"/>
          <w:i/>
        </w:rPr>
        <w:t>reprofilage</w:t>
      </w:r>
      <w:proofErr w:type="spellEnd"/>
      <w:r w:rsidRPr="00AD2228">
        <w:rPr>
          <w:rFonts w:cs="Arial"/>
          <w:i/>
        </w:rPr>
        <w:t xml:space="preserve"> en AC-10base3-x ou en AC-6,3base3-x, éventuellement combiné à un fraisage, suivi d’une couche de roulement posée en épaisseur constante.</w:t>
      </w:r>
    </w:p>
    <w:p w:rsidR="00DD5917" w:rsidRPr="00AD2228" w:rsidRDefault="00DD5917" w:rsidP="00DD5917">
      <w:pPr>
        <w:pStyle w:val="Puces1"/>
        <w:ind w:left="357" w:hanging="357"/>
        <w:rPr>
          <w:rFonts w:cs="Arial"/>
          <w:i/>
        </w:rPr>
      </w:pPr>
      <w:r w:rsidRPr="00AD2228">
        <w:rPr>
          <w:rFonts w:cs="Arial"/>
          <w:i/>
        </w:rPr>
        <w:t>En cas de pose manuelle, il est recommandé d’éviter les enrobés à squelette pierreux et les enrobés à base de bitume polymère.</w:t>
      </w:r>
    </w:p>
    <w:p w:rsidR="00DD5917" w:rsidRPr="00AD2228" w:rsidRDefault="00DD5917" w:rsidP="00DD5917">
      <w:pPr>
        <w:pStyle w:val="Puces1"/>
        <w:ind w:left="357" w:hanging="357"/>
        <w:rPr>
          <w:rFonts w:cs="Arial"/>
          <w:i/>
        </w:rPr>
      </w:pPr>
      <w:r w:rsidRPr="00AD2228">
        <w:rPr>
          <w:rFonts w:cs="Arial"/>
          <w:i/>
        </w:rPr>
        <w:t>Le remplacement d’une partie du filler par la chaux hydratée (au minimum 1 % de la masse des granulats secs) vise à améliorer l’adhésivité liant-granulat et limiter le vieillissement du liant, conduisant au final à une amélioration de la durée de service de l’enrobé (jusqu’à 20 - 25</w:t>
      </w:r>
      <w:r>
        <w:rPr>
          <w:rFonts w:cs="Arial"/>
          <w:i/>
        </w:rPr>
        <w:t> </w:t>
      </w:r>
      <w:r w:rsidRPr="00AD2228">
        <w:rPr>
          <w:rFonts w:cs="Arial"/>
          <w:i/>
        </w:rPr>
        <w:t xml:space="preserve">%). L’utilisation de chaux hydratée est possible en présence de bitume pur ou bitume polymère </w:t>
      </w:r>
      <w:r w:rsidRPr="00AD2228">
        <w:rPr>
          <w:rFonts w:cs="Arial"/>
          <w:i/>
        </w:rPr>
        <w:lastRenderedPageBreak/>
        <w:t>dans tout type d’enrobé. Son emploi est particulièrement pertinent dans les enrobés à squelette pierreux.</w:t>
      </w:r>
    </w:p>
    <w:p w:rsidR="00DD5917" w:rsidRPr="00AD2228" w:rsidRDefault="00DD5917" w:rsidP="00DD5917">
      <w:pPr>
        <w:pStyle w:val="Puces1"/>
        <w:ind w:left="357" w:hanging="357"/>
        <w:rPr>
          <w:rFonts w:cs="Arial"/>
          <w:i/>
        </w:rPr>
      </w:pPr>
      <w:r w:rsidRPr="00AD2228">
        <w:rPr>
          <w:rFonts w:cs="Arial"/>
          <w:i/>
        </w:rPr>
        <w:t>Le choix du type de liant est en principe fait en fonction des critères de performance précisés au CCT. Il peut être laissé au choix de l’entrepreneur.</w:t>
      </w:r>
    </w:p>
    <w:p w:rsidR="00DD5917" w:rsidRPr="00AD2228" w:rsidRDefault="00DD5917" w:rsidP="00DD5917">
      <w:pPr>
        <w:pStyle w:val="Puces1"/>
        <w:ind w:left="357" w:hanging="357"/>
        <w:rPr>
          <w:rFonts w:cs="Arial"/>
          <w:i/>
        </w:rPr>
      </w:pPr>
      <w:r w:rsidRPr="00AD2228">
        <w:rPr>
          <w:rFonts w:cs="Arial"/>
          <w:i/>
        </w:rPr>
        <w:t xml:space="preserve">L’emploi de bitumes </w:t>
      </w:r>
      <w:proofErr w:type="spellStart"/>
      <w:r w:rsidRPr="00AD2228">
        <w:rPr>
          <w:rFonts w:cs="Arial"/>
          <w:i/>
        </w:rPr>
        <w:t>pigmentables</w:t>
      </w:r>
      <w:proofErr w:type="spellEnd"/>
      <w:r w:rsidRPr="00AD2228">
        <w:rPr>
          <w:rFonts w:cs="Arial"/>
          <w:i/>
        </w:rPr>
        <w:t xml:space="preserve"> (enrobés colorés) est déconseillé dans les ronds-points et les</w:t>
      </w:r>
      <w:r>
        <w:rPr>
          <w:rFonts w:cs="Arial"/>
          <w:i/>
        </w:rPr>
        <w:t xml:space="preserve"> routes soumises à trafic lourd,</w:t>
      </w:r>
      <w:r w:rsidRPr="00AD2228">
        <w:rPr>
          <w:rFonts w:cs="Arial"/>
          <w:i/>
        </w:rPr>
        <w:t xml:space="preserve"> la résistance des enrobés à l’orniérage et aux efforts tangentiels étant généralement insuffisante avec ce type de bitume.</w:t>
      </w:r>
    </w:p>
    <w:p w:rsidR="00DD5917" w:rsidRPr="00DD5917" w:rsidRDefault="00DD5917" w:rsidP="006B3928">
      <w:pPr>
        <w:pStyle w:val="Titre4"/>
      </w:pPr>
      <w:r w:rsidRPr="00DD5917">
        <w:t>G. 2.2.8.1. Mise en œuvre des enrobés bitumineux</w:t>
      </w:r>
    </w:p>
    <w:p w:rsidR="00DD5917" w:rsidRPr="00AD2228" w:rsidRDefault="00DD5917" w:rsidP="00DD5917">
      <w:pPr>
        <w:pStyle w:val="Encadr"/>
      </w:pPr>
      <w:r w:rsidRPr="00AD2228">
        <w:t xml:space="preserve">Indiquer si le document de référence </w:t>
      </w:r>
      <w:proofErr w:type="spellStart"/>
      <w:r>
        <w:t>Qualiroutes</w:t>
      </w:r>
      <w:proofErr w:type="spellEnd"/>
      <w:r w:rsidRPr="00AD2228">
        <w:t>-A-1 est d’application dans le cas où l’entreprise comprend plusieurs sections inférieures à 1</w:t>
      </w:r>
      <w:r>
        <w:t>.</w:t>
      </w:r>
      <w:r w:rsidRPr="00AD2228">
        <w:t>000 m</w:t>
      </w:r>
      <w:r w:rsidRPr="00AD2228">
        <w:rPr>
          <w:vertAlign w:val="superscript"/>
        </w:rPr>
        <w:t>2</w:t>
      </w:r>
      <w:r w:rsidRPr="00AD2228">
        <w:t xml:space="preserve"> réalisées successivement avec un même type d’enrobé et dont la somme est supérieure à 1</w:t>
      </w:r>
      <w:r>
        <w:t>.</w:t>
      </w:r>
      <w:r w:rsidRPr="00AD2228">
        <w:t>000 m</w:t>
      </w:r>
      <w:r w:rsidRPr="00AD2228">
        <w:rPr>
          <w:vertAlign w:val="superscript"/>
        </w:rPr>
        <w:t>2</w:t>
      </w:r>
      <w:r w:rsidRPr="00AD2228">
        <w:t>.</w:t>
      </w:r>
    </w:p>
    <w:p w:rsidR="00DD5917" w:rsidRPr="00AD2228" w:rsidRDefault="00DD5917" w:rsidP="006B3928">
      <w:pPr>
        <w:pStyle w:val="Titre4"/>
        <w:rPr>
          <w:rFonts w:eastAsia="Times New Roman"/>
        </w:rPr>
      </w:pPr>
      <w:r w:rsidRPr="00DD5917">
        <w:t>G. 2.2.8.2. Mise en œuvre des enrobés bitumineux - couche de collage</w:t>
      </w:r>
    </w:p>
    <w:p w:rsidR="00DD5917" w:rsidRPr="00AD2228" w:rsidRDefault="00DD5917" w:rsidP="00DD5917">
      <w:pPr>
        <w:pStyle w:val="Encadr"/>
      </w:pPr>
      <w:r w:rsidRPr="00AD2228">
        <w:t>Indiquer si le support fait l’objet d’un nettoyage à l’eau sous pression.</w:t>
      </w:r>
    </w:p>
    <w:p w:rsidR="00DD5917" w:rsidRPr="00AD2228" w:rsidRDefault="00DD5917" w:rsidP="00DD5917">
      <w:pPr>
        <w:pStyle w:val="Puces1"/>
        <w:ind w:left="357" w:hanging="357"/>
        <w:rPr>
          <w:rFonts w:cs="Arial"/>
          <w:i/>
        </w:rPr>
      </w:pPr>
      <w:r w:rsidRPr="00AD2228">
        <w:rPr>
          <w:rFonts w:cs="Arial"/>
          <w:i/>
        </w:rPr>
        <w:t>Le nettoyage à l’eau sous pression est indiqué dans le cas où le support est particulièrement sale ou s’il présente des traces d’huiles, de corps gras, de mazout, etc.</w:t>
      </w:r>
    </w:p>
    <w:p w:rsidR="00DD5917" w:rsidRPr="00AD2228" w:rsidRDefault="00DD5917" w:rsidP="00DD5917">
      <w:pPr>
        <w:pStyle w:val="Puces1"/>
        <w:ind w:left="357" w:hanging="357"/>
        <w:rPr>
          <w:rFonts w:cs="Arial"/>
          <w:i/>
        </w:rPr>
      </w:pPr>
      <w:r w:rsidRPr="00AD2228">
        <w:rPr>
          <w:rFonts w:cs="Arial"/>
          <w:i/>
        </w:rPr>
        <w:t>Il est obligatoire sur une surface fraisée.</w:t>
      </w:r>
    </w:p>
    <w:p w:rsidR="00DD5917" w:rsidRPr="00AD2228" w:rsidRDefault="00DD5917" w:rsidP="00DD5917">
      <w:pPr>
        <w:pStyle w:val="Puces1"/>
        <w:ind w:left="357" w:hanging="357"/>
        <w:rPr>
          <w:rFonts w:cs="Arial"/>
          <w:i/>
        </w:rPr>
      </w:pPr>
      <w:r w:rsidRPr="00AD2228">
        <w:rPr>
          <w:rFonts w:cs="Arial"/>
          <w:i/>
        </w:rPr>
        <w:t xml:space="preserve">Le choix de la couche de collage est laissé à l’appréciation de l’entrepreneur. Celui-ci détermine le taux d’épandage ainsi que le type d’émulsion et de liant, </w:t>
      </w:r>
      <w:r>
        <w:rPr>
          <w:rFonts w:cs="Arial"/>
          <w:i/>
        </w:rPr>
        <w:t>et</w:t>
      </w:r>
      <w:r w:rsidRPr="00AD2228">
        <w:rPr>
          <w:rFonts w:cs="Arial"/>
          <w:i/>
        </w:rPr>
        <w:t xml:space="preserve"> leurs caractéristiques, de façon à réaliser une adhésion parfaite de la couche d’enrobés sur le support.</w:t>
      </w:r>
    </w:p>
    <w:p w:rsidR="00DD5917" w:rsidRPr="00AD2228" w:rsidRDefault="00DD5917" w:rsidP="00DD5917">
      <w:pPr>
        <w:pStyle w:val="Puces1"/>
        <w:ind w:left="357" w:hanging="357"/>
        <w:rPr>
          <w:rFonts w:cs="Arial"/>
          <w:i/>
        </w:rPr>
      </w:pPr>
      <w:r w:rsidRPr="00AD2228">
        <w:rPr>
          <w:rFonts w:cs="Arial"/>
          <w:i/>
        </w:rPr>
        <w:t xml:space="preserve">En cas de mise en œuvre de SMA, il y a lieu d’éviter soigneusement de </w:t>
      </w:r>
      <w:proofErr w:type="spellStart"/>
      <w:r w:rsidRPr="00AD2228">
        <w:rPr>
          <w:rFonts w:cs="Arial"/>
          <w:i/>
        </w:rPr>
        <w:t>surdoser</w:t>
      </w:r>
      <w:proofErr w:type="spellEnd"/>
      <w:r w:rsidRPr="00AD2228">
        <w:rPr>
          <w:rFonts w:cs="Arial"/>
          <w:i/>
        </w:rPr>
        <w:t xml:space="preserve"> la couche de collage.</w:t>
      </w:r>
    </w:p>
    <w:p w:rsidR="00DD5917" w:rsidRPr="00AD2228" w:rsidRDefault="00DD5917" w:rsidP="00DD5917">
      <w:pPr>
        <w:pStyle w:val="Puces1"/>
        <w:ind w:left="357" w:hanging="357"/>
        <w:rPr>
          <w:rFonts w:cs="Arial"/>
          <w:i/>
        </w:rPr>
      </w:pPr>
      <w:r w:rsidRPr="00AD2228">
        <w:rPr>
          <w:rFonts w:cs="Arial"/>
          <w:i/>
        </w:rPr>
        <w:t xml:space="preserve">L’utilisation d’une membrane bitumineuse épaisse (M. 4.2) en tant que couche de collage est généralement à déconseiller, sauf pour les PA ou en cas de support fortement fissuré. </w:t>
      </w:r>
    </w:p>
    <w:p w:rsidR="00DD5917" w:rsidRPr="00AD2228" w:rsidRDefault="00DD5917" w:rsidP="00DD5917">
      <w:pPr>
        <w:pStyle w:val="Puces1"/>
        <w:ind w:left="357" w:hanging="357"/>
        <w:rPr>
          <w:rFonts w:cs="Arial"/>
          <w:i/>
        </w:rPr>
      </w:pPr>
      <w:r w:rsidRPr="00AD2228">
        <w:rPr>
          <w:rFonts w:cs="Arial"/>
          <w:i/>
        </w:rPr>
        <w:t>L’utilisation de finisseurs à rampe intégrée permet d’éviter l’adhérence de la couche de collage aux pneus des camions. D’autres systèmes, comme les émulsions anti-adhérentes</w:t>
      </w:r>
      <w:r>
        <w:rPr>
          <w:rFonts w:cs="Arial"/>
          <w:i/>
        </w:rPr>
        <w:t>,</w:t>
      </w:r>
      <w:r w:rsidRPr="00AD2228">
        <w:rPr>
          <w:rFonts w:cs="Arial"/>
          <w:i/>
        </w:rPr>
        <w:t xml:space="preserve"> sont également envisageables. Pour les PA et les BBTM</w:t>
      </w:r>
      <w:r>
        <w:rPr>
          <w:rFonts w:cs="Arial"/>
          <w:i/>
        </w:rPr>
        <w:t>,</w:t>
      </w:r>
      <w:r w:rsidRPr="00AD2228">
        <w:rPr>
          <w:rFonts w:cs="Arial"/>
          <w:i/>
        </w:rPr>
        <w:t xml:space="preserve"> le système est laissé au choix de l’entrepreneur. Pour les RUMG, l’utilisation d’un finisseur à rampe intégrée est obligatoire.</w:t>
      </w:r>
    </w:p>
    <w:p w:rsidR="00DD5917" w:rsidRPr="00AD2228" w:rsidRDefault="00DD5917" w:rsidP="00DD5917">
      <w:pPr>
        <w:pStyle w:val="Puces1"/>
        <w:ind w:left="357" w:hanging="357"/>
        <w:rPr>
          <w:rFonts w:cs="Arial"/>
          <w:i/>
        </w:rPr>
      </w:pPr>
      <w:r w:rsidRPr="00AD2228">
        <w:rPr>
          <w:rFonts w:cs="Arial"/>
          <w:i/>
        </w:rPr>
        <w:t>Les enrobés colorés sont posés sur une couche de collage classique et non pas sur une couche d’émulsion à base de liant synthétique clair.</w:t>
      </w:r>
    </w:p>
    <w:p w:rsidR="00DD5917" w:rsidRPr="00AD2228" w:rsidRDefault="00DD5917" w:rsidP="00DD5917">
      <w:pPr>
        <w:pStyle w:val="Puces1"/>
        <w:ind w:left="357" w:hanging="357"/>
        <w:rPr>
          <w:rFonts w:cs="Arial"/>
          <w:i/>
        </w:rPr>
      </w:pPr>
      <w:r w:rsidRPr="00AD2228">
        <w:rPr>
          <w:rFonts w:cs="Arial"/>
          <w:i/>
        </w:rPr>
        <w:t>La couche de collage et le nettoyage à l’eau sous pression font l’objet de postes séparés du métré.</w:t>
      </w:r>
    </w:p>
    <w:p w:rsidR="00DD5917" w:rsidRPr="00DD5917" w:rsidRDefault="00DD5917" w:rsidP="006B3928">
      <w:pPr>
        <w:pStyle w:val="Titre4"/>
      </w:pPr>
      <w:r w:rsidRPr="00DD5917">
        <w:t>G. 2.2.8.5. Epandage</w:t>
      </w:r>
    </w:p>
    <w:p w:rsidR="00DD5917" w:rsidRPr="00AD2228" w:rsidRDefault="00DD5917" w:rsidP="00DD5917">
      <w:pPr>
        <w:pStyle w:val="Encadr"/>
      </w:pPr>
      <w:r w:rsidRPr="00AD2228">
        <w:t>Indiquer si les différentes bandes de la couche de roulement doivent être exécutées simultanément et en parallèle</w:t>
      </w:r>
      <w:r>
        <w:t>.</w:t>
      </w:r>
    </w:p>
    <w:p w:rsidR="00DD5917" w:rsidRPr="00AD2228" w:rsidRDefault="00DD5917" w:rsidP="00DD5917">
      <w:pPr>
        <w:pStyle w:val="Puces1"/>
        <w:ind w:left="357" w:hanging="357"/>
        <w:rPr>
          <w:rFonts w:cs="Arial"/>
          <w:i/>
        </w:rPr>
      </w:pPr>
      <w:r w:rsidRPr="00AD2228">
        <w:rPr>
          <w:rFonts w:cs="Arial"/>
          <w:i/>
        </w:rPr>
        <w:t>L’exécution simultanée des bandes de roulement est à conseiller chaque fois que c’est possible car elle permet d’éviter les joints de reprise longitudinaux.</w:t>
      </w:r>
    </w:p>
    <w:p w:rsidR="00DD5917" w:rsidRPr="00AD2228" w:rsidRDefault="00DD5917" w:rsidP="00DD5917">
      <w:pPr>
        <w:pStyle w:val="Puces1"/>
        <w:ind w:left="357" w:hanging="357"/>
        <w:rPr>
          <w:rFonts w:cs="Arial"/>
          <w:i/>
        </w:rPr>
      </w:pPr>
      <w:r w:rsidRPr="00AD2228">
        <w:rPr>
          <w:rFonts w:cs="Arial"/>
          <w:i/>
        </w:rPr>
        <w:lastRenderedPageBreak/>
        <w:t>Lorsque le dispositif de réglage est constitué d’un ski, il y a lieu de contrôler la conformité du profil de l’élément sur lequel glisse ce ski. On évite généralement de suivre le profil d’un filet d’eau existant.</w:t>
      </w:r>
    </w:p>
    <w:p w:rsidR="00DD5917" w:rsidRPr="00DD5917" w:rsidRDefault="00DD5917" w:rsidP="006B3928">
      <w:pPr>
        <w:pStyle w:val="Titre4"/>
      </w:pPr>
      <w:r w:rsidRPr="00DD5917">
        <w:t>G. 3.2.1.2. Familles d’enduits superficiels et catégories de routes</w:t>
      </w:r>
    </w:p>
    <w:p w:rsidR="00DD5917" w:rsidRPr="00AD2228" w:rsidRDefault="00DD5917" w:rsidP="00DD5917">
      <w:pPr>
        <w:pStyle w:val="Encadr"/>
      </w:pPr>
      <w:r w:rsidRPr="00AD2228">
        <w:t>Indiquer la (les) famille(s) d’enduits à mettre en œuvre.</w:t>
      </w:r>
    </w:p>
    <w:p w:rsidR="00DD5917" w:rsidRPr="00AD2228" w:rsidRDefault="00DD5917" w:rsidP="00DD5917">
      <w:pPr>
        <w:pStyle w:val="Puces1"/>
        <w:ind w:left="357" w:hanging="357"/>
        <w:rPr>
          <w:rFonts w:cs="Arial"/>
          <w:i/>
        </w:rPr>
      </w:pPr>
      <w:r w:rsidRPr="00AD2228">
        <w:rPr>
          <w:rFonts w:cs="Arial"/>
          <w:i/>
        </w:rPr>
        <w:t xml:space="preserve">Dans un souci d’amélioration de la durabilité et de la qualité des enduits superficiels, seuls les enduits à base d’émulsion cationique de bitume modifiée par des polymères ou à base de bitumes fluxés avec polymères sont autorisés sur les routes des réseaux I et </w:t>
      </w:r>
      <w:proofErr w:type="spellStart"/>
      <w:r w:rsidRPr="00AD2228">
        <w:rPr>
          <w:rFonts w:cs="Arial"/>
          <w:i/>
        </w:rPr>
        <w:t>IIa</w:t>
      </w:r>
      <w:proofErr w:type="spellEnd"/>
      <w:r w:rsidRPr="00AD2228">
        <w:rPr>
          <w:rFonts w:cs="Arial"/>
          <w:i/>
        </w:rPr>
        <w:t>.</w:t>
      </w:r>
    </w:p>
    <w:p w:rsidR="00DD5917" w:rsidRPr="00AD2228" w:rsidRDefault="00DD5917" w:rsidP="00DD5917">
      <w:pPr>
        <w:pStyle w:val="Puces1"/>
        <w:ind w:left="357" w:hanging="357"/>
        <w:rPr>
          <w:rFonts w:cs="Arial"/>
          <w:i/>
        </w:rPr>
      </w:pPr>
      <w:r w:rsidRPr="00AD2228">
        <w:rPr>
          <w:rFonts w:cs="Arial"/>
          <w:i/>
        </w:rPr>
        <w:t>Les catégories de routes sont définies conformément au C. 5 de la NBN EN 12271. En Belgique, il a été décidé de baser la classification uniquement sur le trafic (catégorie R1 pour le trafic correspondant aux réseaux I et II, catégorie R2 pour le trafic correspondant au réseau III).</w:t>
      </w:r>
    </w:p>
    <w:p w:rsidR="00DD5917" w:rsidRPr="00AD2228" w:rsidRDefault="00DD5917" w:rsidP="00DD5917">
      <w:pPr>
        <w:pStyle w:val="Puces1"/>
        <w:ind w:left="357" w:hanging="357"/>
        <w:rPr>
          <w:rFonts w:cs="Arial"/>
          <w:i/>
        </w:rPr>
      </w:pPr>
      <w:r w:rsidRPr="00AD2228">
        <w:rPr>
          <w:rFonts w:cs="Arial"/>
          <w:i/>
        </w:rPr>
        <w:t xml:space="preserve">Pour obtenir le marquage CE, l’entrepreneur démontre la conformité de son produit à la NBN EN 12271 au moyen du TAIT (Type </w:t>
      </w:r>
      <w:proofErr w:type="spellStart"/>
      <w:r w:rsidRPr="00AD2228">
        <w:rPr>
          <w:rFonts w:cs="Arial"/>
          <w:i/>
        </w:rPr>
        <w:t>Approval</w:t>
      </w:r>
      <w:proofErr w:type="spellEnd"/>
      <w:r w:rsidRPr="00AD2228">
        <w:rPr>
          <w:rFonts w:cs="Arial"/>
          <w:i/>
        </w:rPr>
        <w:t xml:space="preserve"> Installation Trial: annexe C de la norme). Un TAIT doit être réalisé par famille d’enduits, telle que définie au tableau G. 3.2.1.2.</w:t>
      </w:r>
    </w:p>
    <w:p w:rsidR="00DD5917" w:rsidRPr="00DD5917" w:rsidRDefault="00DD5917" w:rsidP="006B3928">
      <w:pPr>
        <w:pStyle w:val="Titre4"/>
      </w:pPr>
      <w:r w:rsidRPr="00DD5917">
        <w:t>G. 3.2.1.3. Types d’enduits superficiels</w:t>
      </w:r>
    </w:p>
    <w:p w:rsidR="00DD5917" w:rsidRPr="00AD2228" w:rsidRDefault="00DD5917" w:rsidP="00DD5917">
      <w:pPr>
        <w:pStyle w:val="Encadr"/>
      </w:pPr>
      <w:r w:rsidRPr="00AD2228">
        <w:t>Indiquer le(s) type(s) et la (les) dénomination(s) d’enduit</w:t>
      </w:r>
      <w:r>
        <w:t>s</w:t>
      </w:r>
      <w:r w:rsidRPr="00AD2228">
        <w:t xml:space="preserve"> à mettre en œuvre.</w:t>
      </w:r>
    </w:p>
    <w:p w:rsidR="00DD5917" w:rsidRPr="00AD2228" w:rsidRDefault="00DD5917" w:rsidP="00DD5917">
      <w:pPr>
        <w:pStyle w:val="Commentaires"/>
      </w:pPr>
      <w:r w:rsidRPr="00AD2228">
        <w:t>L’auteur de projet définit le(s) type(s) d’enduit</w:t>
      </w:r>
      <w:r>
        <w:t>s</w:t>
      </w:r>
      <w:r w:rsidRPr="00AD2228">
        <w:t xml:space="preserve"> à mettre en œuvre en fonction des conditions existantes (support, tracé, conditions climatiques, trafic ...) et en fonction des performances requises (spécifications du G. 3.2.3).</w:t>
      </w:r>
    </w:p>
    <w:p w:rsidR="00DD5917" w:rsidRPr="00DD5917" w:rsidRDefault="00DD5917" w:rsidP="006B3928">
      <w:pPr>
        <w:pStyle w:val="Titre5"/>
      </w:pPr>
      <w:r w:rsidRPr="00DD5917">
        <w:t>G. 3.2.2.3.1. Réparations préalables</w:t>
      </w:r>
    </w:p>
    <w:p w:rsidR="00DD5917" w:rsidRPr="00AD2228" w:rsidRDefault="00DD5917" w:rsidP="00DD5917">
      <w:pPr>
        <w:pBdr>
          <w:top w:val="single" w:sz="12" w:space="3" w:color="auto"/>
          <w:left w:val="single" w:sz="12" w:space="1" w:color="auto"/>
          <w:bottom w:val="single" w:sz="12" w:space="3" w:color="auto"/>
          <w:right w:val="single" w:sz="12" w:space="1" w:color="auto"/>
        </w:pBdr>
        <w:rPr>
          <w:rFonts w:cs="Arial"/>
        </w:rPr>
      </w:pPr>
      <w:r w:rsidRPr="00AD2228">
        <w:rPr>
          <w:rFonts w:cs="Arial"/>
        </w:rPr>
        <w:t>Indiquer si des réparations préalables sont à effectuer:</w:t>
      </w:r>
    </w:p>
    <w:p w:rsidR="00DD5917"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 xml:space="preserve">réparation des flaches et </w:t>
      </w:r>
      <w:proofErr w:type="spellStart"/>
      <w:r w:rsidRPr="00AD2228">
        <w:rPr>
          <w:rFonts w:cs="Arial"/>
        </w:rPr>
        <w:t>nids-de-poule</w:t>
      </w:r>
      <w:proofErr w:type="spellEnd"/>
      <w:r>
        <w:rPr>
          <w:rFonts w:cs="Arial"/>
        </w:rPr>
        <w:t>,</w:t>
      </w:r>
    </w:p>
    <w:p w:rsidR="00DD5917"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traitement des zones déformées</w:t>
      </w:r>
      <w:r>
        <w:rPr>
          <w:rFonts w:cs="Arial"/>
        </w:rPr>
        <w:t>,</w:t>
      </w:r>
    </w:p>
    <w:p w:rsidR="00DD5917"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traitement des joints et fissures</w:t>
      </w:r>
      <w:r>
        <w:rPr>
          <w:rFonts w:cs="Arial"/>
        </w:rPr>
        <w:t>,</w:t>
      </w:r>
    </w:p>
    <w:p w:rsidR="00DD5917" w:rsidRPr="00AD2228"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traitement des zones poreuses ou finement fissurées</w:t>
      </w:r>
      <w:r>
        <w:rPr>
          <w:rFonts w:cs="Arial"/>
        </w:rPr>
        <w:t>,</w:t>
      </w:r>
    </w:p>
    <w:p w:rsidR="00DD5917" w:rsidRPr="00AD2228"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mise à niveau d’éléments localisés.</w:t>
      </w:r>
    </w:p>
    <w:p w:rsidR="00DD5917" w:rsidRPr="00AD2228" w:rsidRDefault="00DD5917" w:rsidP="00DD5917">
      <w:pPr>
        <w:pStyle w:val="Commentaires"/>
      </w:pPr>
      <w:r w:rsidRPr="00AD2228">
        <w:t>Ces travaux font l’objet de postes séparés du métré.</w:t>
      </w:r>
    </w:p>
    <w:p w:rsidR="00DD5917" w:rsidRPr="00DD5917" w:rsidRDefault="00DD5917" w:rsidP="006B3928">
      <w:pPr>
        <w:pStyle w:val="Titre4"/>
      </w:pPr>
      <w:r w:rsidRPr="00DD5917">
        <w:t>G. 3.3.1.2. Familles de MBCF et catégories de routes</w:t>
      </w:r>
    </w:p>
    <w:p w:rsidR="00DD5917" w:rsidRPr="00AD2228" w:rsidRDefault="00DD5917" w:rsidP="00DD5917">
      <w:pPr>
        <w:pStyle w:val="Encadr"/>
        <w:keepNext/>
        <w:keepLines/>
      </w:pPr>
      <w:r w:rsidRPr="00AD2228">
        <w:t>Indiquer la (les) famille(s) de MBCF à mettre en œuvre.</w:t>
      </w:r>
    </w:p>
    <w:p w:rsidR="00DD5917" w:rsidRPr="00AD2228" w:rsidRDefault="00DD5917" w:rsidP="00DD5917">
      <w:pPr>
        <w:pStyle w:val="Encadr"/>
        <w:keepLines/>
      </w:pPr>
      <w:r w:rsidRPr="00AD2228">
        <w:t>Indiquer</w:t>
      </w:r>
      <w:r>
        <w:t>,</w:t>
      </w:r>
      <w:r w:rsidRPr="00AD2228">
        <w:t xml:space="preserve"> le cas échéant</w:t>
      </w:r>
      <w:r>
        <w:t>,</w:t>
      </w:r>
      <w:r w:rsidRPr="00AD2228">
        <w:t xml:space="preserve"> la largeur et la profondeur moyennes de </w:t>
      </w:r>
      <w:proofErr w:type="gramStart"/>
      <w:r w:rsidRPr="00AD2228">
        <w:t>l’(</w:t>
      </w:r>
      <w:proofErr w:type="gramEnd"/>
      <w:r w:rsidRPr="00AD2228">
        <w:t>des) ornière(s).</w:t>
      </w:r>
    </w:p>
    <w:p w:rsidR="00DD5917" w:rsidRPr="00DD5917" w:rsidRDefault="00DD5917" w:rsidP="006B3928">
      <w:pPr>
        <w:pStyle w:val="Titre4"/>
      </w:pPr>
      <w:r w:rsidRPr="00DD5917">
        <w:t>G. 3.3.1.3. Types de MBCF</w:t>
      </w:r>
    </w:p>
    <w:p w:rsidR="00DD5917" w:rsidRPr="00AD2228" w:rsidRDefault="00DD5917" w:rsidP="00DD5917">
      <w:pPr>
        <w:pStyle w:val="Encadr"/>
      </w:pPr>
      <w:r w:rsidRPr="00AD2228">
        <w:t>Indiquer le(s) type(s) et la (les) dénomination(s) de MBCF à mettre en œuvre.</w:t>
      </w:r>
    </w:p>
    <w:p w:rsidR="00DD5917" w:rsidRPr="00AD2228" w:rsidRDefault="00DD5917" w:rsidP="00DD5917">
      <w:pPr>
        <w:rPr>
          <w:rFonts w:cs="Arial"/>
          <w:i/>
        </w:rPr>
      </w:pPr>
      <w:r w:rsidRPr="00AD2228">
        <w:rPr>
          <w:rFonts w:cs="Arial"/>
          <w:i/>
        </w:rPr>
        <w:lastRenderedPageBreak/>
        <w:t>L’auteur de projet définit le(s) type(s) de MBCF à mettre en œuvre en fonction des conditions existantes (support, tracé, profondeur d’ornière, conditions climatiques, trafic ...) et en fonction des performances requises (spécifications du G. 3.3.3).</w:t>
      </w:r>
    </w:p>
    <w:p w:rsidR="00DD5917" w:rsidRPr="00DD5917" w:rsidRDefault="00DD5917" w:rsidP="006B3928">
      <w:pPr>
        <w:pStyle w:val="Titre5"/>
      </w:pPr>
      <w:r w:rsidRPr="00DD5917">
        <w:t>G. 3.3.2.3.1. Réparations préalables</w:t>
      </w:r>
    </w:p>
    <w:p w:rsidR="00DD5917" w:rsidRPr="00AD2228" w:rsidRDefault="00DD5917" w:rsidP="00DD5917">
      <w:pPr>
        <w:pBdr>
          <w:top w:val="single" w:sz="12" w:space="3" w:color="auto"/>
          <w:left w:val="single" w:sz="12" w:space="1" w:color="auto"/>
          <w:bottom w:val="single" w:sz="12" w:space="3" w:color="auto"/>
          <w:right w:val="single" w:sz="12" w:space="1" w:color="auto"/>
        </w:pBdr>
        <w:rPr>
          <w:rFonts w:cs="Arial"/>
        </w:rPr>
      </w:pPr>
      <w:r w:rsidRPr="00AD2228">
        <w:rPr>
          <w:rFonts w:cs="Arial"/>
        </w:rPr>
        <w:t>Indiquer si des réparations préalables sont à effectuer:</w:t>
      </w:r>
    </w:p>
    <w:p w:rsidR="00DD5917"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 xml:space="preserve">réparation des flaches et </w:t>
      </w:r>
      <w:proofErr w:type="spellStart"/>
      <w:r w:rsidRPr="00AD2228">
        <w:rPr>
          <w:rFonts w:cs="Arial"/>
        </w:rPr>
        <w:t>nids-de-poule</w:t>
      </w:r>
      <w:proofErr w:type="spellEnd"/>
      <w:r>
        <w:rPr>
          <w:rFonts w:cs="Arial"/>
        </w:rPr>
        <w:t>,</w:t>
      </w:r>
    </w:p>
    <w:p w:rsidR="00DD5917"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traitement des zones déformées</w:t>
      </w:r>
      <w:r>
        <w:rPr>
          <w:rFonts w:cs="Arial"/>
        </w:rPr>
        <w:t>,</w:t>
      </w:r>
    </w:p>
    <w:p w:rsidR="00DD5917"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traitement des joints et fissures</w:t>
      </w:r>
      <w:r>
        <w:rPr>
          <w:rFonts w:cs="Arial"/>
        </w:rPr>
        <w:t>,</w:t>
      </w:r>
    </w:p>
    <w:p w:rsidR="00DD5917" w:rsidRPr="00AD2228"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traitement des zones poreuses ou finement fissurées</w:t>
      </w:r>
      <w:r>
        <w:rPr>
          <w:rFonts w:cs="Arial"/>
        </w:rPr>
        <w:t>,</w:t>
      </w:r>
    </w:p>
    <w:p w:rsidR="00DD5917" w:rsidRPr="00AD2228" w:rsidRDefault="00DD5917" w:rsidP="00DD5917">
      <w:pPr>
        <w:numPr>
          <w:ilvl w:val="0"/>
          <w:numId w:val="6"/>
        </w:numPr>
        <w:pBdr>
          <w:top w:val="single" w:sz="12" w:space="3" w:color="auto"/>
          <w:left w:val="single" w:sz="12" w:space="1" w:color="auto"/>
          <w:bottom w:val="single" w:sz="12" w:space="3" w:color="auto"/>
          <w:right w:val="single" w:sz="12" w:space="1" w:color="auto"/>
        </w:pBdr>
        <w:spacing w:before="120"/>
        <w:rPr>
          <w:rFonts w:cs="Arial"/>
        </w:rPr>
      </w:pPr>
      <w:r w:rsidRPr="00AD2228">
        <w:rPr>
          <w:rFonts w:cs="Arial"/>
        </w:rPr>
        <w:t>mise à niveau d’éléments localisés.</w:t>
      </w:r>
    </w:p>
    <w:p w:rsidR="00DD5917" w:rsidRPr="00AD2228" w:rsidRDefault="00DD5917" w:rsidP="00DD5917">
      <w:pPr>
        <w:pStyle w:val="Commentaires"/>
      </w:pPr>
      <w:r w:rsidRPr="00AD2228">
        <w:t>Ces travaux font l’objet de postes séparés du métré.</w:t>
      </w:r>
    </w:p>
    <w:p w:rsidR="00DD5917" w:rsidRPr="00DD5917" w:rsidRDefault="00DD5917" w:rsidP="006B3928">
      <w:pPr>
        <w:pStyle w:val="Titre4"/>
      </w:pPr>
      <w:r w:rsidRPr="00DD5917">
        <w:t>G. 3.3.3.6. Couleur du MBCF</w:t>
      </w:r>
    </w:p>
    <w:p w:rsidR="00DD5917" w:rsidRPr="00AD2228" w:rsidRDefault="00DD5917" w:rsidP="00DD5917">
      <w:pPr>
        <w:pStyle w:val="Encadr"/>
      </w:pPr>
      <w:r w:rsidRPr="00AD2228">
        <w:t>Indiquer la teinte des MBCF colorés et, le cas échéant, les prescriptions de chromaticité et de luminosité.</w:t>
      </w:r>
    </w:p>
    <w:p w:rsidR="00DD5917" w:rsidRPr="00AD2228" w:rsidRDefault="00DD5917" w:rsidP="00DD5917">
      <w:pPr>
        <w:pStyle w:val="Commentaires"/>
      </w:pPr>
      <w:r w:rsidRPr="00AD2228">
        <w:t>Les MBCF colorés sont généralement réalisés avec des émulsions à base de liant synthétique clair et des granulats colorés.</w:t>
      </w:r>
    </w:p>
    <w:p w:rsidR="00DD5917" w:rsidRPr="00DD5917" w:rsidRDefault="00DD5917" w:rsidP="006B3928">
      <w:pPr>
        <w:pStyle w:val="Titre3"/>
      </w:pPr>
      <w:bookmarkStart w:id="53" w:name="_Toc503796653"/>
      <w:r w:rsidRPr="00DD5917">
        <w:t>G. 3.4.1. Enduits scellés par un MBCF - enduits superficiels</w:t>
      </w:r>
      <w:bookmarkEnd w:id="53"/>
    </w:p>
    <w:p w:rsidR="00DD5917" w:rsidRPr="00AD2228" w:rsidRDefault="00DD5917" w:rsidP="00DD5917">
      <w:pPr>
        <w:pStyle w:val="Encadr"/>
      </w:pPr>
      <w:r w:rsidRPr="00AD2228">
        <w:t>Indiquer la (les) famille(s) d’enduits à mettre en œuvre.</w:t>
      </w:r>
    </w:p>
    <w:p w:rsidR="00DD5917" w:rsidRPr="00AD2228" w:rsidRDefault="00DD5917" w:rsidP="00DD5917">
      <w:pPr>
        <w:pStyle w:val="Encadr"/>
      </w:pPr>
      <w:r w:rsidRPr="00AD2228">
        <w:t>Indiquer le(s) type(s) et la (les) dénomination(s) des enduits à mettre en œuvre.</w:t>
      </w:r>
    </w:p>
    <w:p w:rsidR="00DD5917" w:rsidRPr="00AD2228" w:rsidRDefault="00DD5917" w:rsidP="00DD5917">
      <w:pPr>
        <w:pStyle w:val="Commentaires"/>
      </w:pPr>
      <w:r w:rsidRPr="00AD2228">
        <w:t>La granularité de l’enduit est en principe 6,3/10 pour les routes du réseau I et certaines routes du réseau II et 4/6,3 pour les autres. Il faut toutefois noter que, sur le réseau I, il est de plus en plus fait usage d’un enduit 4/6,3 scellé par un MBCF 0/6,3 ou 0/10.</w:t>
      </w:r>
    </w:p>
    <w:p w:rsidR="00DD5917" w:rsidRPr="00AD2228" w:rsidRDefault="00DD5917" w:rsidP="00DD5917">
      <w:pPr>
        <w:pStyle w:val="Commentaires"/>
      </w:pPr>
      <w:r w:rsidRPr="00AD2228">
        <w:t xml:space="preserve">Le taux d’épandage des gravillons sera en principe plus faible que celui des enduits classiques de façon à permettre la mise en place du MBCF. </w:t>
      </w:r>
    </w:p>
    <w:p w:rsidR="00DD5917" w:rsidRPr="00AD2228" w:rsidRDefault="00DD5917" w:rsidP="00DD5917">
      <w:pPr>
        <w:pStyle w:val="Commentaires"/>
      </w:pPr>
      <w:r w:rsidRPr="00AD2228">
        <w:t xml:space="preserve">En raison de la durée d’évacuation des </w:t>
      </w:r>
      <w:proofErr w:type="spellStart"/>
      <w:r w:rsidRPr="00AD2228">
        <w:t>fluxants</w:t>
      </w:r>
      <w:proofErr w:type="spellEnd"/>
      <w:r w:rsidRPr="00AD2228">
        <w:t>, il n'est jamais fait usage d’un enduit au bitume fluxé sous un MBCF.</w:t>
      </w:r>
    </w:p>
    <w:p w:rsidR="00DD5917" w:rsidRPr="00AD2228" w:rsidRDefault="00DD5917" w:rsidP="00DD5917">
      <w:pPr>
        <w:pStyle w:val="Commentaires"/>
      </w:pPr>
      <w:r w:rsidRPr="00AD2228">
        <w:t>Les essais a posteriori (rugosité, texture ...) ne sont pas d’application sur l’enduit.</w:t>
      </w:r>
    </w:p>
    <w:p w:rsidR="00DD5917" w:rsidRPr="00DD5917" w:rsidRDefault="00DD5917" w:rsidP="006B3928">
      <w:pPr>
        <w:pStyle w:val="Titre3"/>
      </w:pPr>
      <w:bookmarkStart w:id="54" w:name="_Toc503796654"/>
      <w:r w:rsidRPr="00DD5917">
        <w:t>G. 3.4.2. Matériaux bitumineux coulés à froid (MBCF)</w:t>
      </w:r>
      <w:bookmarkEnd w:id="54"/>
    </w:p>
    <w:p w:rsidR="00DD5917" w:rsidRPr="00AD2228" w:rsidRDefault="00DD5917" w:rsidP="00DD5917">
      <w:pPr>
        <w:pStyle w:val="Encadr"/>
      </w:pPr>
      <w:r w:rsidRPr="00AD2228">
        <w:t>Indiquer la (les) famille(s) et le(s) dénomination(s) des MBCF à mettre en œuvre.</w:t>
      </w:r>
    </w:p>
    <w:p w:rsidR="0082286B" w:rsidRDefault="00DD5917" w:rsidP="00DD5917">
      <w:pPr>
        <w:pStyle w:val="Commentaires"/>
      </w:pPr>
      <w:r w:rsidRPr="00AD2228">
        <w:t>Les granularités utilisées pour les MBCF sont 0/4, 0/6,3 ou 0/10. Le taux d'épandage est à adapter en fonction du type d’enduit et du taux de liant de celui-ci.</w:t>
      </w:r>
    </w:p>
    <w:p w:rsidR="0082286B" w:rsidRDefault="0082286B">
      <w:pPr>
        <w:spacing w:before="0" w:after="200" w:line="276" w:lineRule="auto"/>
        <w:jc w:val="left"/>
        <w:rPr>
          <w:rFonts w:cs="Arial"/>
          <w:i/>
        </w:rPr>
      </w:pPr>
      <w:r>
        <w:br w:type="page"/>
      </w:r>
    </w:p>
    <w:p w:rsidR="0082286B" w:rsidRPr="008967CE" w:rsidRDefault="0082286B" w:rsidP="0082286B">
      <w:pPr>
        <w:spacing w:before="0" w:after="720" w:line="720" w:lineRule="auto"/>
        <w:jc w:val="center"/>
        <w:rPr>
          <w:rFonts w:ascii="Times New Roman" w:hAnsi="Times New Roman"/>
          <w:b/>
          <w:sz w:val="44"/>
          <w:szCs w:val="24"/>
        </w:rPr>
      </w:pPr>
      <w:r w:rsidRPr="008967CE">
        <w:rPr>
          <w:rFonts w:ascii="Times New Roman" w:hAnsi="Times New Roman"/>
          <w:b/>
          <w:sz w:val="44"/>
          <w:szCs w:val="24"/>
        </w:rPr>
        <w:lastRenderedPageBreak/>
        <w:t xml:space="preserve">Modèle de formulaire d’offre </w:t>
      </w:r>
    </w:p>
    <w:p w:rsidR="0082286B" w:rsidRPr="008967CE" w:rsidRDefault="0082286B" w:rsidP="0082286B">
      <w:pPr>
        <w:spacing w:before="0" w:after="720" w:line="720" w:lineRule="auto"/>
        <w:jc w:val="center"/>
        <w:rPr>
          <w:rFonts w:ascii="Times New Roman" w:hAnsi="Times New Roman"/>
          <w:b/>
          <w:sz w:val="44"/>
          <w:szCs w:val="24"/>
        </w:rPr>
      </w:pPr>
      <w:proofErr w:type="gramStart"/>
      <w:r w:rsidRPr="008967CE">
        <w:rPr>
          <w:rFonts w:ascii="Times New Roman" w:hAnsi="Times New Roman"/>
          <w:b/>
          <w:sz w:val="44"/>
          <w:szCs w:val="24"/>
        </w:rPr>
        <w:t>applicable</w:t>
      </w:r>
      <w:proofErr w:type="gramEnd"/>
      <w:r w:rsidRPr="008967CE">
        <w:rPr>
          <w:rFonts w:ascii="Times New Roman" w:hAnsi="Times New Roman"/>
          <w:b/>
          <w:sz w:val="44"/>
          <w:szCs w:val="24"/>
        </w:rPr>
        <w:t xml:space="preserve"> aux travaux régis </w:t>
      </w:r>
    </w:p>
    <w:p w:rsidR="0082286B" w:rsidRDefault="0082286B" w:rsidP="0082286B">
      <w:pPr>
        <w:spacing w:before="0" w:after="720" w:line="720" w:lineRule="auto"/>
        <w:jc w:val="center"/>
        <w:rPr>
          <w:rFonts w:ascii="Times New Roman" w:hAnsi="Times New Roman"/>
          <w:b/>
          <w:sz w:val="44"/>
          <w:szCs w:val="24"/>
        </w:rPr>
      </w:pPr>
      <w:proofErr w:type="gramStart"/>
      <w:r w:rsidRPr="008967CE">
        <w:rPr>
          <w:rFonts w:ascii="Times New Roman" w:hAnsi="Times New Roman"/>
          <w:b/>
          <w:sz w:val="44"/>
          <w:szCs w:val="24"/>
        </w:rPr>
        <w:t>par</w:t>
      </w:r>
      <w:proofErr w:type="gramEnd"/>
      <w:r w:rsidRPr="008967CE">
        <w:rPr>
          <w:rFonts w:ascii="Times New Roman" w:hAnsi="Times New Roman"/>
          <w:b/>
          <w:sz w:val="44"/>
          <w:szCs w:val="24"/>
        </w:rPr>
        <w:t xml:space="preserve"> le CCT QUALIROUTES</w:t>
      </w:r>
    </w:p>
    <w:p w:rsidR="00050CC1" w:rsidRDefault="00050CC1">
      <w:pPr>
        <w:spacing w:before="0" w:after="200" w:line="276" w:lineRule="auto"/>
        <w:jc w:val="left"/>
        <w:rPr>
          <w:rFonts w:eastAsiaTheme="majorEastAsia" w:cs="Arial"/>
          <w:i/>
          <w:iCs/>
          <w:color w:val="404040" w:themeColor="text1" w:themeTint="BF"/>
          <w:sz w:val="40"/>
          <w:szCs w:val="40"/>
          <w:lang w:val="fr-BE"/>
        </w:rPr>
      </w:pPr>
      <w:r>
        <w:rPr>
          <w:rFonts w:cs="Arial"/>
          <w:sz w:val="40"/>
          <w:szCs w:val="40"/>
          <w:lang w:val="fr-BE"/>
        </w:rPr>
        <w:br w:type="page"/>
      </w:r>
    </w:p>
    <w:p w:rsidR="00A06853" w:rsidRPr="008967CE" w:rsidRDefault="00A06853" w:rsidP="006B3928">
      <w:pPr>
        <w:pStyle w:val="Titre1"/>
        <w:rPr>
          <w:lang w:val="fr-BE"/>
        </w:rPr>
      </w:pPr>
      <w:bookmarkStart w:id="55" w:name="_Toc503796655"/>
      <w:r w:rsidRPr="008967CE">
        <w:rPr>
          <w:lang w:val="fr-BE"/>
        </w:rPr>
        <w:lastRenderedPageBreak/>
        <w:t>OFFRE</w:t>
      </w:r>
      <w:bookmarkEnd w:id="55"/>
    </w:p>
    <w:p w:rsidR="00A06853" w:rsidRPr="008967CE" w:rsidRDefault="00A06853" w:rsidP="00A06853">
      <w:pPr>
        <w:spacing w:before="0" w:after="480"/>
        <w:jc w:val="left"/>
        <w:rPr>
          <w:rFonts w:ascii="Times New Roman" w:hAnsi="Times New Roman"/>
          <w:sz w:val="20"/>
          <w:szCs w:val="24"/>
          <w:lang w:val="fr-BE"/>
        </w:rPr>
      </w:pPr>
    </w:p>
    <w:p w:rsidR="00A06853" w:rsidRPr="008967CE" w:rsidRDefault="00A06853" w:rsidP="00A06853">
      <w:pPr>
        <w:spacing w:before="0" w:line="300" w:lineRule="atLeast"/>
        <w:jc w:val="center"/>
        <w:rPr>
          <w:rFonts w:ascii="Times New Roman" w:hAnsi="Times New Roman"/>
          <w:sz w:val="36"/>
          <w:szCs w:val="24"/>
          <w:lang w:val="fr-BE"/>
        </w:rPr>
      </w:pPr>
      <w:r w:rsidRPr="008967CE">
        <w:rPr>
          <w:rFonts w:ascii="Times New Roman" w:hAnsi="Times New Roman"/>
          <w:sz w:val="36"/>
          <w:szCs w:val="24"/>
          <w:lang w:val="fr-BE"/>
        </w:rPr>
        <w:t xml:space="preserve">Pouvoir adjudicateur: </w:t>
      </w:r>
      <w:r w:rsidRPr="008967CE">
        <w:rPr>
          <w:rFonts w:ascii="Times New Roman" w:hAnsi="Times New Roman"/>
          <w:sz w:val="36"/>
          <w:szCs w:val="24"/>
          <w:bdr w:val="single" w:sz="4" w:space="0" w:color="auto"/>
          <w:lang w:val="fr-BE"/>
        </w:rPr>
        <w:t>…………………….</w:t>
      </w:r>
    </w:p>
    <w:p w:rsidR="00A06853" w:rsidRPr="008967CE" w:rsidRDefault="00A06853" w:rsidP="00A06853">
      <w:pPr>
        <w:spacing w:before="0" w:after="600"/>
        <w:jc w:val="left"/>
        <w:rPr>
          <w:rFonts w:ascii="Times New Roman" w:hAnsi="Times New Roman"/>
          <w:sz w:val="20"/>
          <w:szCs w:val="24"/>
          <w:lang w:val="fr-BE"/>
        </w:rPr>
      </w:pPr>
    </w:p>
    <w:p w:rsidR="00A06853" w:rsidRPr="008967CE" w:rsidRDefault="00A06853" w:rsidP="00A06853">
      <w:pPr>
        <w:spacing w:before="0" w:after="480" w:line="300" w:lineRule="atLeast"/>
        <w:jc w:val="center"/>
        <w:rPr>
          <w:rFonts w:ascii="Times New Roman" w:hAnsi="Times New Roman"/>
          <w:b/>
          <w:caps/>
          <w:sz w:val="28"/>
          <w:szCs w:val="24"/>
          <w:lang w:val="fr-BE"/>
        </w:rPr>
      </w:pPr>
      <w:r w:rsidRPr="008967CE">
        <w:rPr>
          <w:rFonts w:ascii="Times New Roman" w:hAnsi="Times New Roman"/>
          <w:b/>
          <w:caps/>
          <w:sz w:val="28"/>
          <w:szCs w:val="24"/>
          <w:lang w:val="fr-BE"/>
        </w:rPr>
        <w:t xml:space="preserve">CAHIER SPECIAL DES CHARGES N° </w:t>
      </w:r>
      <w:r w:rsidRPr="008967CE">
        <w:rPr>
          <w:rFonts w:ascii="Times New Roman" w:hAnsi="Times New Roman"/>
          <w:b/>
          <w:caps/>
          <w:sz w:val="28"/>
          <w:szCs w:val="24"/>
          <w:bdr w:val="single" w:sz="4" w:space="0" w:color="auto"/>
          <w:lang w:val="fr-BE"/>
        </w:rPr>
        <w:t>…………………</w:t>
      </w:r>
    </w:p>
    <w:p w:rsidR="00A06853" w:rsidRPr="008967CE" w:rsidRDefault="00A06853" w:rsidP="00A06853">
      <w:pPr>
        <w:spacing w:before="0" w:after="480" w:line="300" w:lineRule="atLeast"/>
        <w:jc w:val="center"/>
        <w:rPr>
          <w:rFonts w:ascii="Times New Roman" w:hAnsi="Times New Roman"/>
          <w:b/>
          <w:caps/>
          <w:sz w:val="28"/>
          <w:szCs w:val="24"/>
          <w:bdr w:val="single" w:sz="4" w:space="0" w:color="auto"/>
          <w:lang w:val="fr-BE"/>
        </w:rPr>
      </w:pPr>
      <w:r w:rsidRPr="008967CE">
        <w:rPr>
          <w:rFonts w:ascii="Times New Roman" w:hAnsi="Times New Roman"/>
          <w:b/>
          <w:caps/>
          <w:sz w:val="28"/>
          <w:szCs w:val="24"/>
          <w:lang w:val="fr-BE"/>
        </w:rPr>
        <w:t xml:space="preserve">N° dossier </w:t>
      </w:r>
      <w:r w:rsidRPr="008967CE">
        <w:rPr>
          <w:rFonts w:ascii="Times New Roman" w:hAnsi="Times New Roman"/>
          <w:b/>
          <w:caps/>
          <w:sz w:val="28"/>
          <w:szCs w:val="24"/>
          <w:bdr w:val="single" w:sz="4" w:space="0" w:color="auto"/>
          <w:lang w:val="fr-BE"/>
        </w:rPr>
        <w:t>…………………</w:t>
      </w:r>
    </w:p>
    <w:p w:rsidR="00A06853" w:rsidRPr="008967CE" w:rsidRDefault="00A06853" w:rsidP="00A06853">
      <w:pPr>
        <w:spacing w:before="0" w:after="120" w:line="300" w:lineRule="atLeast"/>
        <w:jc w:val="center"/>
        <w:rPr>
          <w:rFonts w:ascii="Times New Roman" w:hAnsi="Times New Roman"/>
          <w:b/>
          <w:sz w:val="28"/>
          <w:szCs w:val="24"/>
          <w:lang w:val="fr-BE"/>
        </w:rPr>
      </w:pPr>
      <w:proofErr w:type="gramStart"/>
      <w:r w:rsidRPr="008967CE">
        <w:rPr>
          <w:rFonts w:ascii="Times New Roman" w:hAnsi="Times New Roman"/>
          <w:b/>
          <w:sz w:val="28"/>
          <w:szCs w:val="24"/>
          <w:lang w:val="fr-BE"/>
        </w:rPr>
        <w:t>relatif</w:t>
      </w:r>
      <w:proofErr w:type="gramEnd"/>
      <w:r w:rsidRPr="008967CE">
        <w:rPr>
          <w:rFonts w:ascii="Times New Roman" w:hAnsi="Times New Roman"/>
          <w:b/>
          <w:sz w:val="28"/>
          <w:szCs w:val="24"/>
          <w:lang w:val="fr-BE"/>
        </w:rPr>
        <w:t xml:space="preserve"> à l’entreprise de travaux </w:t>
      </w:r>
      <w:r w:rsidRPr="008967CE">
        <w:rPr>
          <w:rFonts w:ascii="Times New Roman" w:hAnsi="Times New Roman"/>
          <w:b/>
          <w:sz w:val="28"/>
          <w:szCs w:val="24"/>
          <w:u w:val="dotted"/>
          <w:bdr w:val="single" w:sz="4" w:space="0" w:color="auto"/>
          <w:lang w:val="fr-BE"/>
        </w:rPr>
        <w:t>indiquer l’objet des travaux</w:t>
      </w:r>
    </w:p>
    <w:p w:rsidR="00A06853" w:rsidRPr="008967CE" w:rsidRDefault="00A06853" w:rsidP="00A06853">
      <w:pPr>
        <w:spacing w:before="0" w:after="480"/>
        <w:jc w:val="left"/>
        <w:rPr>
          <w:rFonts w:ascii="Times New Roman" w:hAnsi="Times New Roman"/>
          <w:sz w:val="20"/>
          <w:szCs w:val="24"/>
          <w:lang w:val="fr-BE"/>
        </w:rPr>
      </w:pPr>
    </w:p>
    <w:p w:rsidR="00A06853" w:rsidRPr="008967CE" w:rsidRDefault="00A06853" w:rsidP="00A06853">
      <w:pPr>
        <w:tabs>
          <w:tab w:val="right" w:leader="dot" w:pos="9356"/>
        </w:tabs>
        <w:spacing w:before="0" w:after="240" w:line="300" w:lineRule="atLeast"/>
        <w:jc w:val="left"/>
        <w:rPr>
          <w:rFonts w:ascii="Times New Roman" w:hAnsi="Times New Roman"/>
          <w:sz w:val="24"/>
          <w:szCs w:val="24"/>
          <w:lang w:val="fr-BE"/>
        </w:rPr>
      </w:pPr>
      <w:r w:rsidRPr="008967CE">
        <w:rPr>
          <w:rFonts w:ascii="Times New Roman" w:hAnsi="Times New Roman"/>
          <w:sz w:val="24"/>
          <w:szCs w:val="24"/>
          <w:lang w:val="fr-BE"/>
        </w:rPr>
        <w:t xml:space="preserve">Le soussigné: </w:t>
      </w:r>
      <w:r w:rsidRPr="008967CE">
        <w:rPr>
          <w:rFonts w:ascii="Times New Roman" w:hAnsi="Times New Roman"/>
          <w:sz w:val="24"/>
          <w:szCs w:val="24"/>
          <w:lang w:val="fr-BE"/>
        </w:rPr>
        <w:tab/>
      </w:r>
      <w:r w:rsidRPr="008967CE">
        <w:rPr>
          <w:rFonts w:ascii="Times New Roman" w:hAnsi="Times New Roman"/>
          <w:sz w:val="24"/>
          <w:szCs w:val="24"/>
          <w:lang w:val="fr-BE"/>
        </w:rPr>
        <w:br/>
        <w:t>(Nom, prénoms et qualité)</w:t>
      </w:r>
    </w:p>
    <w:p w:rsidR="00A06853" w:rsidRPr="008967CE" w:rsidRDefault="00A06853" w:rsidP="00A06853">
      <w:pPr>
        <w:tabs>
          <w:tab w:val="right" w:leader="dot" w:pos="9356"/>
        </w:tabs>
        <w:spacing w:before="0" w:after="240" w:line="300" w:lineRule="atLeast"/>
        <w:jc w:val="left"/>
        <w:rPr>
          <w:rFonts w:ascii="Times New Roman" w:hAnsi="Times New Roman"/>
          <w:sz w:val="24"/>
          <w:szCs w:val="24"/>
          <w:lang w:val="fr-BE"/>
        </w:rPr>
      </w:pPr>
      <w:r w:rsidRPr="008967CE">
        <w:rPr>
          <w:rFonts w:ascii="Times New Roman" w:hAnsi="Times New Roman"/>
          <w:sz w:val="24"/>
          <w:szCs w:val="24"/>
          <w:lang w:val="fr-BE"/>
        </w:rPr>
        <w:t xml:space="preserve">Nationalité: </w:t>
      </w:r>
      <w:r w:rsidRPr="008967CE">
        <w:rPr>
          <w:rFonts w:ascii="Times New Roman" w:hAnsi="Times New Roman"/>
          <w:sz w:val="24"/>
          <w:szCs w:val="24"/>
          <w:lang w:val="fr-BE"/>
        </w:rPr>
        <w:tab/>
      </w:r>
    </w:p>
    <w:p w:rsidR="00A06853" w:rsidRPr="008967CE" w:rsidRDefault="00A06853" w:rsidP="00A06853">
      <w:pPr>
        <w:tabs>
          <w:tab w:val="right" w:leader="dot" w:pos="9356"/>
        </w:tabs>
        <w:spacing w:before="0" w:after="240" w:line="300" w:lineRule="atLeast"/>
        <w:jc w:val="left"/>
        <w:rPr>
          <w:rFonts w:ascii="Times New Roman" w:hAnsi="Times New Roman"/>
          <w:sz w:val="24"/>
          <w:szCs w:val="24"/>
          <w:lang w:val="fr-BE"/>
        </w:rPr>
      </w:pPr>
      <w:r w:rsidRPr="008967CE">
        <w:rPr>
          <w:rFonts w:ascii="Times New Roman" w:hAnsi="Times New Roman"/>
          <w:sz w:val="24"/>
          <w:szCs w:val="24"/>
          <w:lang w:val="fr-BE"/>
        </w:rPr>
        <w:t xml:space="preserve">Domicilié à: </w:t>
      </w:r>
      <w:r w:rsidRPr="008967CE">
        <w:rPr>
          <w:rFonts w:ascii="Times New Roman" w:hAnsi="Times New Roman"/>
          <w:sz w:val="24"/>
          <w:szCs w:val="24"/>
          <w:lang w:val="fr-BE"/>
        </w:rPr>
        <w:tab/>
      </w:r>
      <w:r w:rsidRPr="008967CE">
        <w:rPr>
          <w:rFonts w:ascii="Times New Roman" w:hAnsi="Times New Roman"/>
          <w:sz w:val="24"/>
          <w:szCs w:val="24"/>
          <w:lang w:val="fr-BE"/>
        </w:rPr>
        <w:br/>
        <w:t>(Pays, localité, rue, n°)</w:t>
      </w:r>
    </w:p>
    <w:p w:rsidR="00A06853" w:rsidRPr="008967CE" w:rsidRDefault="00A06853" w:rsidP="00A06853">
      <w:pPr>
        <w:tabs>
          <w:tab w:val="right" w:leader="dot" w:pos="9356"/>
        </w:tabs>
        <w:spacing w:after="480"/>
        <w:ind w:left="1134"/>
        <w:jc w:val="left"/>
        <w:rPr>
          <w:rFonts w:ascii="Times New Roman" w:hAnsi="Times New Roman"/>
          <w:i/>
          <w:sz w:val="24"/>
          <w:szCs w:val="24"/>
          <w:lang w:val="fr-BE"/>
        </w:rPr>
      </w:pPr>
      <w:proofErr w:type="gramStart"/>
      <w:r w:rsidRPr="008967CE">
        <w:rPr>
          <w:rFonts w:ascii="Times New Roman" w:hAnsi="Times New Roman"/>
          <w:i/>
          <w:sz w:val="24"/>
          <w:szCs w:val="24"/>
          <w:lang w:val="fr-BE"/>
        </w:rPr>
        <w:t>ou</w:t>
      </w:r>
      <w:proofErr w:type="gramEnd"/>
      <w:r w:rsidRPr="008967CE">
        <w:rPr>
          <w:rFonts w:ascii="Times New Roman" w:hAnsi="Times New Roman"/>
          <w:i/>
          <w:sz w:val="24"/>
          <w:szCs w:val="24"/>
          <w:lang w:val="fr-BE"/>
        </w:rPr>
        <w:t xml:space="preserve"> bien </w:t>
      </w:r>
      <w:r w:rsidRPr="008967CE">
        <w:rPr>
          <w:rFonts w:ascii="Times New Roman" w:hAnsi="Times New Roman"/>
          <w:b/>
          <w:i/>
          <w:sz w:val="24"/>
          <w:szCs w:val="24"/>
          <w:vertAlign w:val="superscript"/>
          <w:lang w:val="fr-BE"/>
        </w:rPr>
        <w:t>(</w:t>
      </w:r>
      <w:r w:rsidRPr="008967CE">
        <w:rPr>
          <w:rFonts w:ascii="Times New Roman" w:hAnsi="Times New Roman"/>
          <w:b/>
          <w:i/>
          <w:sz w:val="24"/>
          <w:szCs w:val="24"/>
          <w:vertAlign w:val="superscript"/>
          <w:lang w:val="fr-BE"/>
        </w:rPr>
        <w:footnoteReference w:id="1"/>
      </w:r>
      <w:r w:rsidRPr="008967CE">
        <w:rPr>
          <w:rFonts w:ascii="Times New Roman" w:hAnsi="Times New Roman"/>
          <w:b/>
          <w:i/>
          <w:sz w:val="24"/>
          <w:szCs w:val="24"/>
          <w:vertAlign w:val="superscript"/>
          <w:lang w:val="fr-BE"/>
        </w:rPr>
        <w:t>)</w:t>
      </w:r>
    </w:p>
    <w:p w:rsidR="00A06853" w:rsidRPr="008967CE" w:rsidRDefault="00A06853" w:rsidP="00A06853">
      <w:pPr>
        <w:tabs>
          <w:tab w:val="right" w:leader="dot" w:pos="9356"/>
        </w:tabs>
        <w:spacing w:before="0" w:after="240" w:line="300" w:lineRule="atLeast"/>
        <w:jc w:val="left"/>
        <w:rPr>
          <w:rFonts w:ascii="Times New Roman" w:hAnsi="Times New Roman"/>
          <w:sz w:val="24"/>
          <w:szCs w:val="24"/>
          <w:lang w:val="fr-BE"/>
        </w:rPr>
      </w:pPr>
      <w:r w:rsidRPr="008967CE">
        <w:rPr>
          <w:rFonts w:ascii="Times New Roman" w:hAnsi="Times New Roman"/>
          <w:sz w:val="24"/>
          <w:szCs w:val="24"/>
          <w:lang w:val="fr-BE"/>
        </w:rPr>
        <w:t xml:space="preserve">La Société: </w:t>
      </w:r>
      <w:r w:rsidRPr="008967CE">
        <w:rPr>
          <w:rFonts w:ascii="Times New Roman" w:hAnsi="Times New Roman"/>
          <w:sz w:val="24"/>
          <w:szCs w:val="24"/>
          <w:lang w:val="fr-BE"/>
        </w:rPr>
        <w:tab/>
      </w:r>
      <w:r w:rsidRPr="008967CE">
        <w:rPr>
          <w:rFonts w:ascii="Times New Roman" w:hAnsi="Times New Roman"/>
          <w:sz w:val="24"/>
          <w:szCs w:val="24"/>
          <w:lang w:val="fr-BE"/>
        </w:rPr>
        <w:br/>
        <w:t>(Raison sociale ou dénomination, forme, nationalité, siège)</w:t>
      </w:r>
    </w:p>
    <w:p w:rsidR="00A06853" w:rsidRPr="008967CE" w:rsidRDefault="00A06853" w:rsidP="00A06853">
      <w:pPr>
        <w:tabs>
          <w:tab w:val="right" w:leader="dot" w:pos="9356"/>
        </w:tabs>
        <w:spacing w:before="0" w:after="240" w:line="300" w:lineRule="atLeast"/>
        <w:jc w:val="left"/>
        <w:rPr>
          <w:rFonts w:ascii="Times New Roman" w:hAnsi="Times New Roman"/>
          <w:sz w:val="24"/>
          <w:szCs w:val="24"/>
          <w:lang w:val="fr-BE"/>
        </w:rPr>
      </w:pPr>
      <w:proofErr w:type="gramStart"/>
      <w:r w:rsidRPr="008967CE">
        <w:rPr>
          <w:rFonts w:ascii="Times New Roman" w:hAnsi="Times New Roman"/>
          <w:sz w:val="24"/>
          <w:szCs w:val="24"/>
          <w:lang w:val="fr-BE"/>
        </w:rPr>
        <w:t>représentée</w:t>
      </w:r>
      <w:proofErr w:type="gramEnd"/>
      <w:r w:rsidRPr="008967CE">
        <w:rPr>
          <w:rFonts w:ascii="Times New Roman" w:hAnsi="Times New Roman"/>
          <w:sz w:val="24"/>
          <w:szCs w:val="24"/>
          <w:lang w:val="fr-BE"/>
        </w:rPr>
        <w:t xml:space="preserve"> par le</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xml:space="preserve"> soussigné</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xml:space="preserve">: </w:t>
      </w:r>
      <w:r w:rsidRPr="008967CE">
        <w:rPr>
          <w:rFonts w:ascii="Times New Roman" w:hAnsi="Times New Roman"/>
          <w:sz w:val="24"/>
          <w:szCs w:val="24"/>
          <w:lang w:val="fr-BE"/>
        </w:rPr>
        <w:tab/>
      </w:r>
      <w:r w:rsidRPr="008967CE">
        <w:rPr>
          <w:rFonts w:ascii="Times New Roman" w:hAnsi="Times New Roman"/>
          <w:sz w:val="24"/>
          <w:szCs w:val="24"/>
          <w:lang w:val="fr-BE"/>
        </w:rPr>
        <w:br/>
        <w:t>(nom</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prénoms et qualité</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w:t>
      </w:r>
    </w:p>
    <w:p w:rsidR="00A06853" w:rsidRPr="008967CE" w:rsidRDefault="00A06853" w:rsidP="00A06853">
      <w:pPr>
        <w:tabs>
          <w:tab w:val="right" w:leader="dot" w:pos="9356"/>
        </w:tabs>
        <w:spacing w:after="480"/>
        <w:ind w:left="1134"/>
        <w:jc w:val="left"/>
        <w:rPr>
          <w:rFonts w:ascii="Times New Roman" w:hAnsi="Times New Roman"/>
          <w:i/>
          <w:sz w:val="24"/>
          <w:szCs w:val="24"/>
          <w:lang w:val="fr-BE"/>
        </w:rPr>
      </w:pPr>
      <w:proofErr w:type="gramStart"/>
      <w:r w:rsidRPr="008967CE">
        <w:rPr>
          <w:rFonts w:ascii="Times New Roman" w:hAnsi="Times New Roman"/>
          <w:i/>
          <w:sz w:val="24"/>
          <w:szCs w:val="24"/>
          <w:lang w:val="fr-BE"/>
        </w:rPr>
        <w:t>ou</w:t>
      </w:r>
      <w:proofErr w:type="gramEnd"/>
      <w:r w:rsidRPr="008967CE">
        <w:rPr>
          <w:rFonts w:ascii="Times New Roman" w:hAnsi="Times New Roman"/>
          <w:i/>
          <w:sz w:val="24"/>
          <w:szCs w:val="24"/>
          <w:lang w:val="fr-BE"/>
        </w:rPr>
        <w:t xml:space="preserve"> bien </w:t>
      </w:r>
      <w:r w:rsidRPr="008967CE">
        <w:rPr>
          <w:rFonts w:ascii="Times New Roman" w:hAnsi="Times New Roman"/>
          <w:b/>
          <w:i/>
          <w:sz w:val="24"/>
          <w:szCs w:val="24"/>
          <w:vertAlign w:val="superscript"/>
          <w:lang w:val="fr-BE"/>
        </w:rPr>
        <w:t>(1)</w:t>
      </w:r>
    </w:p>
    <w:p w:rsidR="00A06853" w:rsidRPr="008967CE" w:rsidRDefault="00A06853" w:rsidP="00A06853">
      <w:pPr>
        <w:tabs>
          <w:tab w:val="right" w:leader="dot" w:pos="9356"/>
        </w:tabs>
        <w:spacing w:before="0" w:after="240" w:line="300" w:lineRule="atLeast"/>
        <w:jc w:val="left"/>
        <w:rPr>
          <w:rFonts w:ascii="Times New Roman" w:hAnsi="Times New Roman"/>
          <w:sz w:val="24"/>
          <w:szCs w:val="24"/>
          <w:lang w:val="fr-BE"/>
        </w:rPr>
      </w:pPr>
      <w:r w:rsidRPr="008967CE">
        <w:rPr>
          <w:rFonts w:ascii="Times New Roman" w:hAnsi="Times New Roman"/>
          <w:sz w:val="24"/>
          <w:szCs w:val="24"/>
          <w:lang w:val="fr-BE"/>
        </w:rPr>
        <w:t xml:space="preserve">Les soussignés: </w:t>
      </w:r>
      <w:r w:rsidRPr="008967CE">
        <w:rPr>
          <w:rFonts w:ascii="Times New Roman" w:hAnsi="Times New Roman"/>
          <w:sz w:val="24"/>
          <w:szCs w:val="24"/>
          <w:lang w:val="fr-BE"/>
        </w:rPr>
        <w:tab/>
      </w:r>
      <w:r w:rsidRPr="008967CE">
        <w:rPr>
          <w:rFonts w:ascii="Times New Roman" w:hAnsi="Times New Roman"/>
          <w:sz w:val="24"/>
          <w:szCs w:val="24"/>
          <w:lang w:val="fr-BE"/>
        </w:rPr>
        <w:br/>
        <w:t>(pour chacun, mêmes indications que ci-dessus)</w:t>
      </w:r>
    </w:p>
    <w:p w:rsidR="00A06853" w:rsidRPr="008967CE" w:rsidRDefault="00A06853" w:rsidP="00A06853">
      <w:pPr>
        <w:tabs>
          <w:tab w:val="right" w:leader="dot" w:pos="9356"/>
        </w:tabs>
        <w:spacing w:before="0" w:after="240" w:line="300" w:lineRule="atLeast"/>
        <w:jc w:val="left"/>
        <w:rPr>
          <w:rFonts w:ascii="Times New Roman" w:hAnsi="Times New Roman"/>
          <w:sz w:val="24"/>
          <w:szCs w:val="24"/>
          <w:lang w:val="fr-BE"/>
        </w:rPr>
      </w:pPr>
      <w:r w:rsidRPr="008967CE">
        <w:rPr>
          <w:rFonts w:ascii="Times New Roman" w:hAnsi="Times New Roman"/>
          <w:sz w:val="24"/>
          <w:szCs w:val="24"/>
          <w:lang w:val="fr-BE"/>
        </w:rPr>
        <w:t>Constitués en  groupement sans personnalité juridique pour la présente entreprise,</w:t>
      </w:r>
    </w:p>
    <w:p w:rsidR="00A06853" w:rsidRPr="008967CE" w:rsidRDefault="00A06853" w:rsidP="00A06853">
      <w:pPr>
        <w:tabs>
          <w:tab w:val="right" w:leader="dot" w:pos="9356"/>
        </w:tabs>
        <w:spacing w:before="0" w:after="240" w:line="300" w:lineRule="atLeast"/>
        <w:rPr>
          <w:rFonts w:ascii="Times New Roman" w:hAnsi="Times New Roman"/>
          <w:sz w:val="24"/>
          <w:szCs w:val="24"/>
          <w:lang w:val="fr-BE"/>
        </w:rPr>
      </w:pPr>
      <w:proofErr w:type="gramStart"/>
      <w:r w:rsidRPr="008967CE">
        <w:rPr>
          <w:rFonts w:ascii="Times New Roman" w:hAnsi="Times New Roman"/>
          <w:sz w:val="24"/>
          <w:szCs w:val="24"/>
          <w:lang w:val="fr-BE"/>
        </w:rPr>
        <w:t>s’engage</w:t>
      </w:r>
      <w:proofErr w:type="gramEnd"/>
      <w:r w:rsidRPr="008967CE">
        <w:rPr>
          <w:rFonts w:ascii="Times New Roman" w:hAnsi="Times New Roman"/>
          <w:sz w:val="24"/>
          <w:szCs w:val="24"/>
          <w:lang w:val="fr-BE"/>
        </w:rPr>
        <w:t xml:space="preserve"> (ou s’engagent) sur ses (ou sur leurs) biens meubles et immeubles, à exécuter, conformément aux clauses et conditions du cahier spécial des charges précité, le marché faisant l’objet de ce cahier spécial des charges, relatif à l’entreprise de travaux</w:t>
      </w:r>
    </w:p>
    <w:p w:rsidR="0082286B" w:rsidRPr="00006A85" w:rsidRDefault="0082286B" w:rsidP="0082286B">
      <w:pPr>
        <w:tabs>
          <w:tab w:val="right" w:leader="dot" w:pos="9356"/>
        </w:tabs>
        <w:spacing w:after="240" w:line="300" w:lineRule="atLeast"/>
        <w:rPr>
          <w:rFonts w:cs="Arial"/>
          <w:lang w:val="fr-BE"/>
        </w:rPr>
      </w:pPr>
      <w:r w:rsidRPr="00006A85">
        <w:rPr>
          <w:rFonts w:cs="Arial"/>
          <w:lang w:val="fr-BE"/>
        </w:rPr>
        <w:tab/>
      </w:r>
    </w:p>
    <w:p w:rsidR="00A06853" w:rsidRPr="008967CE" w:rsidRDefault="00A06853" w:rsidP="00A06853">
      <w:pPr>
        <w:tabs>
          <w:tab w:val="right" w:leader="dot" w:pos="9356"/>
        </w:tabs>
        <w:spacing w:before="0" w:after="240" w:line="300" w:lineRule="atLeast"/>
        <w:jc w:val="left"/>
        <w:rPr>
          <w:rFonts w:ascii="Times New Roman" w:hAnsi="Times New Roman"/>
          <w:sz w:val="24"/>
          <w:szCs w:val="24"/>
          <w:lang w:val="fr-BE"/>
        </w:rPr>
      </w:pPr>
      <w:proofErr w:type="gramStart"/>
      <w:r w:rsidRPr="008967CE">
        <w:rPr>
          <w:rFonts w:ascii="Times New Roman" w:hAnsi="Times New Roman"/>
          <w:sz w:val="24"/>
          <w:szCs w:val="24"/>
          <w:lang w:val="fr-BE"/>
        </w:rPr>
        <w:lastRenderedPageBreak/>
        <w:t>moyennant</w:t>
      </w:r>
      <w:proofErr w:type="gramEnd"/>
      <w:r w:rsidRPr="008967CE">
        <w:rPr>
          <w:rFonts w:ascii="Times New Roman" w:hAnsi="Times New Roman"/>
          <w:sz w:val="24"/>
          <w:szCs w:val="24"/>
          <w:lang w:val="fr-BE"/>
        </w:rPr>
        <w:t xml:space="preserve"> la somme de</w:t>
      </w:r>
      <w:r w:rsidRPr="008967CE">
        <w:rPr>
          <w:rFonts w:ascii="Times New Roman" w:hAnsi="Times New Roman"/>
          <w:sz w:val="24"/>
          <w:szCs w:val="24"/>
          <w:lang w:val="fr-BE"/>
        </w:rPr>
        <w:br/>
        <w:t xml:space="preserve">(en chiffres: T.V.A. comprise): </w:t>
      </w:r>
      <w:r w:rsidRPr="008967CE">
        <w:rPr>
          <w:rFonts w:ascii="Times New Roman" w:hAnsi="Times New Roman"/>
          <w:sz w:val="24"/>
          <w:szCs w:val="24"/>
          <w:lang w:val="fr-BE"/>
        </w:rPr>
        <w:tab/>
      </w:r>
      <w:r w:rsidRPr="008967CE">
        <w:rPr>
          <w:rFonts w:ascii="Times New Roman" w:hAnsi="Times New Roman"/>
          <w:sz w:val="24"/>
          <w:szCs w:val="24"/>
          <w:lang w:val="fr-BE"/>
        </w:rPr>
        <w:br/>
        <w:t xml:space="preserve">(en lettres: T.V.A. comprise): </w:t>
      </w:r>
      <w:r w:rsidRPr="008967CE">
        <w:rPr>
          <w:rFonts w:ascii="Times New Roman" w:hAnsi="Times New Roman"/>
          <w:sz w:val="24"/>
          <w:szCs w:val="24"/>
          <w:lang w:val="fr-BE"/>
        </w:rPr>
        <w:tab/>
      </w:r>
    </w:p>
    <w:p w:rsidR="00A06853" w:rsidRPr="008967CE" w:rsidRDefault="00A06853" w:rsidP="00A06853">
      <w:pPr>
        <w:tabs>
          <w:tab w:val="right" w:leader="dot" w:pos="9356"/>
        </w:tabs>
        <w:spacing w:before="0" w:line="300" w:lineRule="atLeast"/>
        <w:jc w:val="left"/>
        <w:rPr>
          <w:rFonts w:ascii="Times New Roman" w:hAnsi="Times New Roman"/>
          <w:b/>
          <w:strike/>
          <w:sz w:val="24"/>
          <w:szCs w:val="24"/>
          <w:lang w:val="fr-BE"/>
        </w:rPr>
      </w:pPr>
    </w:p>
    <w:p w:rsidR="00A06853" w:rsidRPr="008967CE" w:rsidRDefault="00A06853" w:rsidP="00A06853">
      <w:pPr>
        <w:tabs>
          <w:tab w:val="right" w:leader="dot" w:pos="9356"/>
        </w:tabs>
        <w:spacing w:before="0" w:line="300" w:lineRule="atLeast"/>
        <w:jc w:val="left"/>
        <w:rPr>
          <w:rFonts w:ascii="Times New Roman" w:hAnsi="Times New Roman"/>
          <w:b/>
          <w:strike/>
          <w:sz w:val="24"/>
          <w:szCs w:val="24"/>
          <w:lang w:val="fr-BE"/>
        </w:rPr>
      </w:pPr>
    </w:p>
    <w:p w:rsidR="00A06853" w:rsidRPr="008967CE" w:rsidRDefault="00A06853" w:rsidP="00A06853">
      <w:pPr>
        <w:numPr>
          <w:ilvl w:val="0"/>
          <w:numId w:val="20"/>
        </w:numPr>
        <w:tabs>
          <w:tab w:val="right" w:leader="dot" w:pos="9356"/>
        </w:tabs>
        <w:spacing w:before="0" w:line="300" w:lineRule="atLeast"/>
        <w:jc w:val="left"/>
        <w:rPr>
          <w:rFonts w:ascii="Times New Roman" w:hAnsi="Times New Roman"/>
          <w:sz w:val="24"/>
          <w:szCs w:val="24"/>
          <w:lang w:val="fr-BE"/>
        </w:rPr>
      </w:pPr>
      <w:r w:rsidRPr="008967CE">
        <w:rPr>
          <w:rFonts w:ascii="Times New Roman" w:hAnsi="Times New Roman"/>
          <w:sz w:val="24"/>
          <w:szCs w:val="24"/>
          <w:lang w:val="fr-BE"/>
        </w:rPr>
        <w:t xml:space="preserve">rabais consenti sur l’ensemble de mes prix unitaires et forfaitaires (à l’exclusion des sommes réservées): ……. % </w:t>
      </w:r>
      <w:r w:rsidRPr="008967CE">
        <w:rPr>
          <w:rFonts w:ascii="Times New Roman" w:hAnsi="Times New Roman"/>
          <w:sz w:val="24"/>
          <w:szCs w:val="24"/>
          <w:vertAlign w:val="superscript"/>
          <w:lang w:val="fr-BE"/>
        </w:rPr>
        <w:t>(</w:t>
      </w:r>
      <w:r w:rsidRPr="008967CE">
        <w:rPr>
          <w:rFonts w:ascii="Times New Roman" w:hAnsi="Times New Roman"/>
          <w:i/>
          <w:sz w:val="24"/>
          <w:szCs w:val="24"/>
          <w:vertAlign w:val="superscript"/>
          <w:lang w:val="fr-BE"/>
        </w:rPr>
        <w:footnoteReference w:id="2"/>
      </w:r>
      <w:r w:rsidRPr="008967CE">
        <w:rPr>
          <w:rFonts w:ascii="Times New Roman" w:hAnsi="Times New Roman"/>
          <w:sz w:val="24"/>
          <w:szCs w:val="24"/>
          <w:vertAlign w:val="superscript"/>
          <w:lang w:val="fr-BE"/>
        </w:rPr>
        <w:t>)</w:t>
      </w:r>
    </w:p>
    <w:p w:rsidR="00A06853" w:rsidRPr="008967CE" w:rsidRDefault="00A06853" w:rsidP="00A06853">
      <w:pPr>
        <w:tabs>
          <w:tab w:val="right" w:leader="dot" w:pos="9356"/>
        </w:tabs>
        <w:spacing w:before="0" w:line="300" w:lineRule="atLeast"/>
        <w:rPr>
          <w:rFonts w:ascii="Times New Roman" w:hAnsi="Times New Roman"/>
          <w:sz w:val="24"/>
          <w:szCs w:val="24"/>
          <w:lang w:val="fr-BE"/>
        </w:rPr>
      </w:pPr>
    </w:p>
    <w:p w:rsidR="00A06853" w:rsidRPr="008967CE" w:rsidRDefault="00A06853" w:rsidP="00A06853">
      <w:pPr>
        <w:tabs>
          <w:tab w:val="right" w:leader="dot" w:pos="9356"/>
        </w:tabs>
        <w:spacing w:before="0" w:line="300" w:lineRule="atLeast"/>
        <w:rPr>
          <w:rFonts w:ascii="Times New Roman" w:hAnsi="Times New Roman"/>
          <w:sz w:val="24"/>
          <w:szCs w:val="24"/>
          <w:lang w:val="fr-BE"/>
        </w:rPr>
      </w:pPr>
    </w:p>
    <w:p w:rsidR="00A06853" w:rsidRPr="006B3928" w:rsidRDefault="00A06853" w:rsidP="00A06853">
      <w:pPr>
        <w:numPr>
          <w:ilvl w:val="0"/>
          <w:numId w:val="20"/>
        </w:numPr>
        <w:tabs>
          <w:tab w:val="right" w:leader="dot" w:pos="9356"/>
        </w:tabs>
        <w:spacing w:before="0" w:line="300" w:lineRule="atLeast"/>
        <w:jc w:val="left"/>
        <w:rPr>
          <w:rFonts w:ascii="Times New Roman" w:hAnsi="Times New Roman"/>
          <w:sz w:val="24"/>
          <w:szCs w:val="24"/>
          <w:lang w:val="fr-BE"/>
        </w:rPr>
      </w:pPr>
      <w:r w:rsidRPr="008967CE">
        <w:rPr>
          <w:rFonts w:ascii="Times New Roman" w:hAnsi="Times New Roman"/>
          <w:sz w:val="24"/>
          <w:szCs w:val="24"/>
          <w:lang w:val="fr-BE"/>
        </w:rPr>
        <w:t xml:space="preserve">majoration appliquée sur l’ensemble de mes prix unitaires et forfaitaires (à l’exclusion des sommes réservées): ……. % </w:t>
      </w:r>
      <w:r w:rsidRPr="008967CE">
        <w:rPr>
          <w:rFonts w:ascii="Times New Roman" w:hAnsi="Times New Roman"/>
          <w:i/>
          <w:sz w:val="24"/>
          <w:szCs w:val="24"/>
          <w:vertAlign w:val="superscript"/>
          <w:lang w:val="fr-BE"/>
        </w:rPr>
        <w:t>(1)</w:t>
      </w:r>
    </w:p>
    <w:p w:rsidR="00A06853" w:rsidRPr="008967CE" w:rsidRDefault="00A06853" w:rsidP="00A06853">
      <w:pPr>
        <w:tabs>
          <w:tab w:val="right" w:leader="dot" w:pos="9356"/>
        </w:tabs>
        <w:spacing w:before="0" w:line="300" w:lineRule="atLeast"/>
        <w:rPr>
          <w:rFonts w:ascii="Times New Roman" w:hAnsi="Times New Roman"/>
          <w:b/>
          <w:sz w:val="24"/>
          <w:szCs w:val="24"/>
          <w:lang w:val="fr-BE"/>
        </w:rPr>
      </w:pPr>
    </w:p>
    <w:p w:rsidR="00A06853" w:rsidRDefault="00A06853" w:rsidP="006B3928">
      <w:pPr>
        <w:pStyle w:val="Titre4"/>
        <w:numPr>
          <w:ilvl w:val="0"/>
          <w:numId w:val="21"/>
        </w:numPr>
        <w:rPr>
          <w:lang w:val="fr-BE"/>
        </w:rPr>
      </w:pPr>
      <w:r w:rsidRPr="008967CE">
        <w:rPr>
          <w:lang w:val="fr-BE"/>
        </w:rPr>
        <w:t>Renseignements généraux</w:t>
      </w:r>
    </w:p>
    <w:p w:rsidR="006B3928" w:rsidRPr="006B3928" w:rsidRDefault="006B3928" w:rsidP="006B3928">
      <w:pPr>
        <w:rPr>
          <w:lang w:val="fr-BE"/>
        </w:rPr>
      </w:pPr>
    </w:p>
    <w:p w:rsidR="00A06853" w:rsidRPr="008967CE" w:rsidRDefault="00A06853" w:rsidP="00A06853">
      <w:pPr>
        <w:numPr>
          <w:ilvl w:val="0"/>
          <w:numId w:val="18"/>
        </w:numPr>
        <w:tabs>
          <w:tab w:val="clear" w:pos="360"/>
          <w:tab w:val="num" w:pos="927"/>
          <w:tab w:val="right" w:leader="dot" w:pos="9356"/>
        </w:tabs>
        <w:spacing w:before="0" w:after="240" w:line="300" w:lineRule="atLeast"/>
        <w:ind w:left="907"/>
        <w:jc w:val="left"/>
        <w:rPr>
          <w:rFonts w:ascii="Times New Roman" w:hAnsi="Times New Roman"/>
          <w:sz w:val="24"/>
          <w:szCs w:val="24"/>
          <w:lang w:val="fr-BE"/>
        </w:rPr>
      </w:pPr>
      <w:r w:rsidRPr="008967CE">
        <w:rPr>
          <w:rFonts w:ascii="Times New Roman" w:hAnsi="Times New Roman"/>
          <w:sz w:val="24"/>
          <w:szCs w:val="24"/>
          <w:lang w:val="fr-BE"/>
        </w:rPr>
        <w:t>Immatriculation</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xml:space="preserve"> O.N.S.S (ou équivalent pour les soumissionnaires employant du personnel non assujetti  à la loi du 27 juin 1969 en matière de sécurité sociale des travailleurs) : n°</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xml:space="preserve"> </w:t>
      </w:r>
      <w:r w:rsidRPr="008967CE">
        <w:rPr>
          <w:rFonts w:ascii="Times New Roman" w:hAnsi="Times New Roman"/>
          <w:sz w:val="24"/>
          <w:szCs w:val="24"/>
          <w:lang w:val="fr-BE"/>
        </w:rPr>
        <w:tab/>
      </w:r>
    </w:p>
    <w:p w:rsidR="00A06853" w:rsidRPr="008967CE" w:rsidRDefault="00A06853" w:rsidP="00A06853">
      <w:pPr>
        <w:numPr>
          <w:ilvl w:val="0"/>
          <w:numId w:val="18"/>
        </w:numPr>
        <w:tabs>
          <w:tab w:val="clear" w:pos="360"/>
          <w:tab w:val="num" w:pos="927"/>
          <w:tab w:val="right" w:leader="dot" w:pos="9356"/>
        </w:tabs>
        <w:spacing w:before="0" w:after="240" w:line="300" w:lineRule="atLeast"/>
        <w:ind w:left="907"/>
        <w:jc w:val="left"/>
        <w:rPr>
          <w:rFonts w:ascii="Times New Roman" w:hAnsi="Times New Roman"/>
          <w:sz w:val="24"/>
          <w:szCs w:val="24"/>
          <w:lang w:val="fr-BE"/>
        </w:rPr>
      </w:pPr>
      <w:r w:rsidRPr="008967CE">
        <w:rPr>
          <w:rFonts w:ascii="Times New Roman" w:hAnsi="Times New Roman"/>
          <w:sz w:val="24"/>
          <w:szCs w:val="24"/>
          <w:lang w:val="fr-BE"/>
        </w:rPr>
        <w:t>Numéro d'entreprise: n°</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xml:space="preserve"> </w:t>
      </w:r>
      <w:r w:rsidRPr="008967CE">
        <w:rPr>
          <w:rFonts w:ascii="Times New Roman" w:hAnsi="Times New Roman"/>
          <w:sz w:val="24"/>
          <w:szCs w:val="24"/>
          <w:lang w:val="fr-BE"/>
        </w:rPr>
        <w:tab/>
      </w:r>
    </w:p>
    <w:p w:rsidR="00A06853" w:rsidRPr="008967CE" w:rsidRDefault="00A06853" w:rsidP="00A06853">
      <w:pPr>
        <w:numPr>
          <w:ilvl w:val="0"/>
          <w:numId w:val="18"/>
        </w:numPr>
        <w:tabs>
          <w:tab w:val="clear" w:pos="360"/>
          <w:tab w:val="num" w:pos="927"/>
          <w:tab w:val="right" w:leader="dot" w:pos="9356"/>
        </w:tabs>
        <w:spacing w:before="0" w:after="240" w:line="300" w:lineRule="atLeast"/>
        <w:ind w:left="907"/>
        <w:jc w:val="left"/>
        <w:rPr>
          <w:rFonts w:ascii="Times New Roman" w:hAnsi="Times New Roman"/>
          <w:sz w:val="24"/>
          <w:szCs w:val="24"/>
          <w:lang w:val="fr-BE"/>
        </w:rPr>
      </w:pPr>
      <w:r w:rsidRPr="008967CE">
        <w:rPr>
          <w:rFonts w:ascii="Times New Roman" w:hAnsi="Times New Roman"/>
          <w:sz w:val="24"/>
          <w:szCs w:val="24"/>
          <w:lang w:val="fr-BE"/>
        </w:rPr>
        <w:t>Inscription sur la liste des entrepreneurs agréés (ou certificat ou inscription sur une liste officielle d’un Etat membre de l’UE ou d’un pays repris à l’article 21 de la loi du 15 juin 2006) : n°</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xml:space="preserve"> </w:t>
      </w:r>
      <w:r w:rsidRPr="008967CE">
        <w:rPr>
          <w:rFonts w:ascii="Times New Roman" w:hAnsi="Times New Roman"/>
          <w:sz w:val="24"/>
          <w:szCs w:val="24"/>
          <w:lang w:val="fr-BE"/>
        </w:rPr>
        <w:tab/>
      </w:r>
    </w:p>
    <w:p w:rsidR="00A06853" w:rsidRPr="008967CE" w:rsidRDefault="00A06853" w:rsidP="00A06853">
      <w:pPr>
        <w:numPr>
          <w:ilvl w:val="0"/>
          <w:numId w:val="18"/>
        </w:numPr>
        <w:tabs>
          <w:tab w:val="clear" w:pos="360"/>
          <w:tab w:val="num" w:pos="927"/>
          <w:tab w:val="right" w:leader="dot" w:pos="9356"/>
        </w:tabs>
        <w:spacing w:before="0" w:after="240" w:line="300" w:lineRule="atLeast"/>
        <w:ind w:left="907"/>
        <w:jc w:val="left"/>
        <w:rPr>
          <w:rFonts w:ascii="Times New Roman" w:hAnsi="Times New Roman"/>
          <w:sz w:val="24"/>
          <w:szCs w:val="24"/>
          <w:lang w:val="fr-BE"/>
        </w:rPr>
      </w:pPr>
      <w:r w:rsidRPr="008967CE">
        <w:rPr>
          <w:rFonts w:ascii="Times New Roman" w:hAnsi="Times New Roman"/>
          <w:sz w:val="24"/>
          <w:szCs w:val="24"/>
          <w:lang w:val="fr-BE"/>
        </w:rPr>
        <w:t>Catégorie</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sous-catégorie</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w:t>
      </w:r>
      <w:r w:rsidRPr="008967CE">
        <w:rPr>
          <w:rFonts w:ascii="Times New Roman" w:hAnsi="Times New Roman"/>
          <w:sz w:val="24"/>
          <w:szCs w:val="24"/>
          <w:lang w:val="fr-BE"/>
        </w:rPr>
        <w:t xml:space="preserve"> et classe</w:t>
      </w:r>
      <w:r w:rsidRPr="008967CE">
        <w:rPr>
          <w:rFonts w:ascii="Times New Roman" w:hAnsi="Times New Roman"/>
          <w:sz w:val="20"/>
          <w:szCs w:val="24"/>
          <w:lang w:val="fr-BE"/>
        </w:rPr>
        <w:t>(</w:t>
      </w:r>
      <w:r w:rsidRPr="008967CE">
        <w:rPr>
          <w:rFonts w:ascii="Times New Roman" w:hAnsi="Times New Roman"/>
          <w:sz w:val="24"/>
          <w:szCs w:val="24"/>
          <w:lang w:val="fr-BE"/>
        </w:rPr>
        <w:t>s</w:t>
      </w:r>
      <w:r w:rsidRPr="008967CE">
        <w:rPr>
          <w:rFonts w:ascii="Times New Roman" w:hAnsi="Times New Roman"/>
          <w:sz w:val="20"/>
          <w:szCs w:val="24"/>
          <w:lang w:val="fr-BE"/>
        </w:rPr>
        <w:t xml:space="preserve">) </w:t>
      </w:r>
      <w:r w:rsidRPr="008967CE">
        <w:rPr>
          <w:rFonts w:ascii="Times New Roman" w:hAnsi="Times New Roman"/>
          <w:sz w:val="24"/>
          <w:szCs w:val="24"/>
          <w:lang w:val="fr-BE"/>
        </w:rPr>
        <w:t xml:space="preserve">d’agréation: </w:t>
      </w:r>
      <w:r w:rsidRPr="008967CE">
        <w:rPr>
          <w:rFonts w:ascii="Times New Roman" w:hAnsi="Times New Roman"/>
          <w:sz w:val="24"/>
          <w:szCs w:val="24"/>
          <w:lang w:val="fr-BE"/>
        </w:rPr>
        <w:tab/>
      </w:r>
    </w:p>
    <w:p w:rsidR="00A06853" w:rsidRPr="008967CE" w:rsidRDefault="00A06853" w:rsidP="00A06853">
      <w:pPr>
        <w:numPr>
          <w:ilvl w:val="0"/>
          <w:numId w:val="18"/>
        </w:numPr>
        <w:tabs>
          <w:tab w:val="clear" w:pos="360"/>
          <w:tab w:val="num" w:pos="927"/>
          <w:tab w:val="right" w:leader="dot" w:pos="9356"/>
        </w:tabs>
        <w:spacing w:before="0" w:after="240" w:line="300" w:lineRule="atLeast"/>
        <w:ind w:left="907"/>
        <w:jc w:val="left"/>
        <w:rPr>
          <w:rFonts w:ascii="Times New Roman" w:hAnsi="Times New Roman"/>
          <w:sz w:val="24"/>
          <w:szCs w:val="24"/>
          <w:lang w:val="fr-BE"/>
        </w:rPr>
      </w:pPr>
      <w:r w:rsidRPr="008967CE">
        <w:rPr>
          <w:rFonts w:ascii="Times New Roman" w:hAnsi="Times New Roman"/>
          <w:sz w:val="24"/>
          <w:szCs w:val="24"/>
          <w:lang w:val="fr-BE"/>
        </w:rPr>
        <w:t xml:space="preserve">Numéro de téléphone: </w:t>
      </w:r>
      <w:r w:rsidRPr="008967CE">
        <w:rPr>
          <w:rFonts w:ascii="Times New Roman" w:hAnsi="Times New Roman"/>
          <w:sz w:val="24"/>
          <w:szCs w:val="24"/>
          <w:lang w:val="fr-BE"/>
        </w:rPr>
        <w:tab/>
      </w:r>
    </w:p>
    <w:p w:rsidR="00A06853" w:rsidRPr="008967CE" w:rsidRDefault="00A06853" w:rsidP="00A06853">
      <w:pPr>
        <w:numPr>
          <w:ilvl w:val="0"/>
          <w:numId w:val="18"/>
        </w:numPr>
        <w:tabs>
          <w:tab w:val="clear" w:pos="360"/>
          <w:tab w:val="num" w:pos="927"/>
          <w:tab w:val="right" w:leader="dot" w:pos="9356"/>
        </w:tabs>
        <w:spacing w:before="0" w:after="240" w:line="300" w:lineRule="atLeast"/>
        <w:ind w:left="907"/>
        <w:jc w:val="left"/>
        <w:rPr>
          <w:rFonts w:ascii="Times New Roman" w:hAnsi="Times New Roman"/>
          <w:sz w:val="24"/>
          <w:szCs w:val="24"/>
          <w:lang w:val="fr-BE"/>
        </w:rPr>
      </w:pPr>
      <w:r w:rsidRPr="008967CE">
        <w:rPr>
          <w:rFonts w:ascii="Times New Roman" w:hAnsi="Times New Roman"/>
          <w:sz w:val="24"/>
          <w:szCs w:val="24"/>
          <w:lang w:val="fr-BE"/>
        </w:rPr>
        <w:t xml:space="preserve">Numéro de fax: </w:t>
      </w:r>
      <w:r w:rsidRPr="008967CE">
        <w:rPr>
          <w:rFonts w:ascii="Times New Roman" w:hAnsi="Times New Roman"/>
          <w:sz w:val="24"/>
          <w:szCs w:val="24"/>
          <w:lang w:val="fr-BE"/>
        </w:rPr>
        <w:tab/>
      </w:r>
    </w:p>
    <w:p w:rsidR="00A06853" w:rsidRPr="008967CE" w:rsidRDefault="00A06853" w:rsidP="00A06853">
      <w:pPr>
        <w:numPr>
          <w:ilvl w:val="0"/>
          <w:numId w:val="18"/>
        </w:numPr>
        <w:tabs>
          <w:tab w:val="clear" w:pos="360"/>
          <w:tab w:val="num" w:pos="927"/>
          <w:tab w:val="right" w:leader="dot" w:pos="9356"/>
        </w:tabs>
        <w:spacing w:before="0" w:after="240" w:line="300" w:lineRule="atLeast"/>
        <w:ind w:left="907"/>
        <w:jc w:val="left"/>
        <w:rPr>
          <w:rFonts w:ascii="Times New Roman" w:hAnsi="Times New Roman"/>
          <w:sz w:val="24"/>
          <w:szCs w:val="24"/>
          <w:lang w:val="fr-BE"/>
        </w:rPr>
      </w:pPr>
      <w:r w:rsidRPr="008967CE">
        <w:rPr>
          <w:rFonts w:ascii="Times New Roman" w:hAnsi="Times New Roman"/>
          <w:sz w:val="24"/>
          <w:szCs w:val="24"/>
          <w:lang w:val="fr-BE"/>
        </w:rPr>
        <w:t xml:space="preserve">Courriel: </w:t>
      </w:r>
      <w:r w:rsidRPr="008967CE">
        <w:rPr>
          <w:rFonts w:ascii="Times New Roman" w:hAnsi="Times New Roman"/>
          <w:sz w:val="24"/>
          <w:szCs w:val="24"/>
          <w:lang w:val="fr-BE"/>
        </w:rPr>
        <w:tab/>
      </w:r>
    </w:p>
    <w:p w:rsidR="00A06853" w:rsidRPr="008967CE" w:rsidRDefault="00A06853" w:rsidP="006B3928">
      <w:pPr>
        <w:pStyle w:val="Titre4"/>
        <w:rPr>
          <w:lang w:val="fr-BE"/>
        </w:rPr>
      </w:pPr>
    </w:p>
    <w:p w:rsidR="00A06853" w:rsidRDefault="00A06853" w:rsidP="006B3928">
      <w:pPr>
        <w:pStyle w:val="Titre4"/>
        <w:numPr>
          <w:ilvl w:val="0"/>
          <w:numId w:val="21"/>
        </w:numPr>
        <w:rPr>
          <w:lang w:val="fr-BE"/>
        </w:rPr>
      </w:pPr>
      <w:r w:rsidRPr="008967CE">
        <w:rPr>
          <w:lang w:val="fr-BE"/>
        </w:rPr>
        <w:t>Documents à fournir par le soumissionnaire ne possédant pas l’agréation requise</w:t>
      </w:r>
    </w:p>
    <w:p w:rsidR="006B3928" w:rsidRPr="006B3928" w:rsidRDefault="006B3928" w:rsidP="006B3928">
      <w:pPr>
        <w:pStyle w:val="Paragraphedeliste"/>
        <w:ind w:left="1065"/>
      </w:pPr>
    </w:p>
    <w:p w:rsidR="00A06853" w:rsidRPr="008967CE" w:rsidRDefault="00A06853" w:rsidP="00A06853">
      <w:pPr>
        <w:tabs>
          <w:tab w:val="left" w:pos="567"/>
          <w:tab w:val="right" w:leader="dot" w:pos="9356"/>
        </w:tabs>
        <w:spacing w:before="0" w:after="240" w:line="300" w:lineRule="atLeast"/>
        <w:ind w:left="567"/>
        <w:jc w:val="left"/>
        <w:rPr>
          <w:rFonts w:ascii="Times New Roman" w:hAnsi="Times New Roman"/>
          <w:sz w:val="24"/>
          <w:szCs w:val="24"/>
          <w:lang w:val="fr-BE"/>
        </w:rPr>
      </w:pPr>
      <w:r w:rsidRPr="008967CE">
        <w:rPr>
          <w:rFonts w:ascii="Times New Roman" w:hAnsi="Times New Roman"/>
          <w:sz w:val="24"/>
          <w:szCs w:val="24"/>
          <w:lang w:val="fr-BE"/>
        </w:rPr>
        <w:t xml:space="preserve">Conformément à l’article 70 al.2 3° de l’AR du 15 juillet 2011, sont joints à la présente offre les documents qui sont exigés en vertu de l’article 1 de l’Arrêté ministériel du 27 septembre 1991 et qui démontrent qu’il est satisfait aux conditions fixées pour obtenir l’agréation requise pour l’attribution du présent marché </w:t>
      </w:r>
      <w:r w:rsidRPr="008967CE">
        <w:rPr>
          <w:rFonts w:ascii="Times New Roman" w:hAnsi="Times New Roman"/>
          <w:b/>
          <w:i/>
          <w:sz w:val="24"/>
          <w:szCs w:val="24"/>
          <w:vertAlign w:val="superscript"/>
          <w:lang w:val="fr-BE"/>
        </w:rPr>
        <w:t>(</w:t>
      </w:r>
      <w:r w:rsidRPr="008967CE">
        <w:rPr>
          <w:rFonts w:ascii="Times New Roman" w:hAnsi="Times New Roman"/>
          <w:b/>
          <w:i/>
          <w:sz w:val="24"/>
          <w:szCs w:val="24"/>
          <w:vertAlign w:val="superscript"/>
          <w:lang w:val="fr-BE"/>
        </w:rPr>
        <w:footnoteReference w:id="3"/>
      </w:r>
      <w:r w:rsidRPr="008967CE">
        <w:rPr>
          <w:rFonts w:ascii="Times New Roman" w:hAnsi="Times New Roman"/>
          <w:b/>
          <w:i/>
          <w:sz w:val="24"/>
          <w:szCs w:val="24"/>
          <w:vertAlign w:val="superscript"/>
          <w:lang w:val="fr-BE"/>
        </w:rPr>
        <w:t>)</w:t>
      </w:r>
      <w:r w:rsidRPr="008967CE">
        <w:rPr>
          <w:rFonts w:ascii="Times New Roman" w:hAnsi="Times New Roman"/>
          <w:sz w:val="24"/>
          <w:szCs w:val="24"/>
          <w:lang w:val="fr-BE"/>
        </w:rPr>
        <w:t>.</w:t>
      </w:r>
    </w:p>
    <w:p w:rsidR="00A06853" w:rsidRPr="008967CE" w:rsidRDefault="00A06853" w:rsidP="00A06853">
      <w:pPr>
        <w:tabs>
          <w:tab w:val="left" w:pos="567"/>
          <w:tab w:val="right" w:leader="dot" w:pos="9356"/>
        </w:tabs>
        <w:spacing w:before="0" w:after="240" w:line="300" w:lineRule="atLeast"/>
        <w:ind w:left="567"/>
        <w:rPr>
          <w:rFonts w:ascii="Times New Roman" w:hAnsi="Times New Roman"/>
          <w:sz w:val="24"/>
          <w:szCs w:val="24"/>
          <w:lang w:val="fr-BE"/>
        </w:rPr>
      </w:pPr>
      <w:r w:rsidRPr="008967CE">
        <w:rPr>
          <w:rFonts w:ascii="Times New Roman" w:hAnsi="Times New Roman"/>
          <w:sz w:val="24"/>
          <w:szCs w:val="24"/>
          <w:lang w:val="fr-BE"/>
        </w:rPr>
        <w:t xml:space="preserve">Est jointe à la présente offre une copie de l’attestation constatant l’introduction d’un dossier complet, conformément à l’article 6 de l’Arrêté royal du 26 septembre 1991 </w:t>
      </w:r>
      <w:r w:rsidRPr="008967CE">
        <w:rPr>
          <w:rFonts w:ascii="Times New Roman" w:hAnsi="Times New Roman"/>
          <w:b/>
          <w:i/>
          <w:sz w:val="24"/>
          <w:szCs w:val="24"/>
          <w:vertAlign w:val="superscript"/>
          <w:lang w:val="fr-BE"/>
        </w:rPr>
        <w:t>(1)</w:t>
      </w:r>
      <w:r w:rsidRPr="008967CE">
        <w:rPr>
          <w:rFonts w:ascii="Times New Roman" w:hAnsi="Times New Roman"/>
          <w:sz w:val="24"/>
          <w:szCs w:val="24"/>
          <w:lang w:val="fr-BE"/>
        </w:rPr>
        <w:t>.</w:t>
      </w:r>
    </w:p>
    <w:p w:rsidR="00A06853" w:rsidRPr="00A06853" w:rsidRDefault="00A06853" w:rsidP="006B3928">
      <w:pPr>
        <w:pStyle w:val="Titre4"/>
        <w:numPr>
          <w:ilvl w:val="0"/>
          <w:numId w:val="21"/>
        </w:numPr>
        <w:rPr>
          <w:lang w:val="fr-BE"/>
        </w:rPr>
      </w:pPr>
      <w:r w:rsidRPr="00A06853">
        <w:rPr>
          <w:lang w:val="fr-BE"/>
        </w:rPr>
        <w:lastRenderedPageBreak/>
        <w:t xml:space="preserve">Identification des sous-traitants (nom, adresse, classe et catégorie d'agréation </w:t>
      </w:r>
      <w:r w:rsidRPr="00A06853">
        <w:rPr>
          <w:vertAlign w:val="superscript"/>
          <w:lang w:val="fr-BE"/>
        </w:rPr>
        <w:t>(</w:t>
      </w:r>
      <w:r w:rsidRPr="00A06853">
        <w:rPr>
          <w:rStyle w:val="Appelnotedebasdep"/>
          <w:rFonts w:cs="Arial"/>
          <w:b w:val="0"/>
          <w:szCs w:val="22"/>
          <w:lang w:val="fr-BE"/>
        </w:rPr>
        <w:footnoteReference w:id="4"/>
      </w:r>
      <w:proofErr w:type="gramStart"/>
      <w:r w:rsidRPr="00A06853">
        <w:rPr>
          <w:vertAlign w:val="superscript"/>
          <w:lang w:val="fr-BE"/>
        </w:rPr>
        <w:t xml:space="preserve">) </w:t>
      </w:r>
      <w:r w:rsidRPr="00A06853">
        <w:rPr>
          <w:lang w:val="fr-BE"/>
        </w:rPr>
        <w:t>)</w:t>
      </w:r>
      <w:proofErr w:type="gramEnd"/>
    </w:p>
    <w:p w:rsidR="00050CC1" w:rsidRPr="00006A85" w:rsidRDefault="00050CC1" w:rsidP="00050CC1">
      <w:pPr>
        <w:tabs>
          <w:tab w:val="left" w:pos="567"/>
          <w:tab w:val="right" w:leader="dot" w:pos="9356"/>
        </w:tabs>
        <w:spacing w:after="240" w:line="300" w:lineRule="atLeast"/>
        <w:ind w:left="567"/>
        <w:rPr>
          <w:rFonts w:cs="Arial"/>
          <w:lang w:val="fr-BE"/>
        </w:rPr>
      </w:pPr>
      <w:r w:rsidRPr="00006A85">
        <w:rPr>
          <w:rFonts w:cs="Arial"/>
          <w:lang w:val="fr-BE"/>
        </w:rPr>
        <w:tab/>
      </w:r>
    </w:p>
    <w:p w:rsidR="00050CC1" w:rsidRPr="00006A85" w:rsidRDefault="00050CC1" w:rsidP="00050CC1">
      <w:pPr>
        <w:tabs>
          <w:tab w:val="left" w:pos="567"/>
          <w:tab w:val="right" w:leader="dot" w:pos="9356"/>
        </w:tabs>
        <w:spacing w:after="240" w:line="300" w:lineRule="atLeast"/>
        <w:ind w:left="567"/>
        <w:rPr>
          <w:rFonts w:cs="Arial"/>
          <w:lang w:val="fr-BE"/>
        </w:rPr>
      </w:pPr>
      <w:r w:rsidRPr="00006A85">
        <w:rPr>
          <w:rFonts w:cs="Arial"/>
          <w:lang w:val="fr-BE"/>
        </w:rPr>
        <w:tab/>
      </w:r>
    </w:p>
    <w:p w:rsidR="00A06853" w:rsidRPr="006B3928" w:rsidRDefault="00A06853" w:rsidP="006B3928">
      <w:pPr>
        <w:pStyle w:val="Titre4"/>
        <w:numPr>
          <w:ilvl w:val="0"/>
          <w:numId w:val="21"/>
        </w:numPr>
      </w:pPr>
      <w:r w:rsidRPr="006B3928">
        <w:t xml:space="preserve">Matériaux et produits </w:t>
      </w:r>
      <w:r w:rsidRPr="006B3928">
        <w:rPr>
          <w:rStyle w:val="Appelnotedebasdep"/>
          <w:vertAlign w:val="baseline"/>
        </w:rPr>
        <w:footnoteReference w:id="5"/>
      </w:r>
    </w:p>
    <w:p w:rsidR="006B3928" w:rsidRPr="006B3928" w:rsidRDefault="006B3928" w:rsidP="006B3928">
      <w:pPr>
        <w:pStyle w:val="Paragraphedeliste"/>
        <w:ind w:left="1065"/>
      </w:pPr>
    </w:p>
    <w:p w:rsidR="00A06853" w:rsidRPr="00C63036" w:rsidRDefault="00A06853" w:rsidP="00A06853">
      <w:pPr>
        <w:pStyle w:val="Commentaire"/>
        <w:rPr>
          <w:rFonts w:ascii="Arial" w:hAnsi="Arial" w:cs="Arial"/>
          <w:color w:val="auto"/>
          <w:sz w:val="24"/>
          <w:szCs w:val="24"/>
          <w:lang w:val="fr-BE"/>
        </w:rPr>
      </w:pPr>
      <w:r w:rsidRPr="00C63036">
        <w:rPr>
          <w:rFonts w:ascii="Arial" w:hAnsi="Arial" w:cs="Arial"/>
          <w:color w:val="auto"/>
          <w:sz w:val="24"/>
          <w:szCs w:val="24"/>
          <w:lang w:val="fr-BE"/>
        </w:rPr>
        <w:t xml:space="preserve">Application de l’article 78 al.1, 5° de l’AR du 18 avril 2017: voir annexe X </w:t>
      </w:r>
      <w:r w:rsidRPr="00C63036">
        <w:rPr>
          <w:rStyle w:val="Appelnotedebasdep"/>
          <w:rFonts w:ascii="Arial" w:hAnsi="Arial" w:cs="Arial"/>
          <w:color w:val="auto"/>
          <w:sz w:val="24"/>
          <w:szCs w:val="24"/>
          <w:lang w:val="fr-BE"/>
        </w:rPr>
        <w:footnoteReference w:id="6"/>
      </w:r>
      <w:r w:rsidRPr="00C63036">
        <w:rPr>
          <w:rFonts w:ascii="Arial" w:hAnsi="Arial" w:cs="Arial"/>
          <w:color w:val="auto"/>
          <w:sz w:val="24"/>
          <w:szCs w:val="24"/>
          <w:lang w:val="fr-BE"/>
        </w:rPr>
        <w:t xml:space="preserve"> à la présente offre dans laquelle est détaillée l'origine des produits à fournir et des matériaux à utiliser avec indication par pays d'origine de la valeur, droits de douane non compris, pour laquelle ces produits et matériaux interviennent dans l'offre; si ces produits ou ces matériaux sont à parachever ou à mettre en œuvre sur le territoire de l’Union européenne, seule la valeur des matières est</w:t>
      </w:r>
      <w:r>
        <w:rPr>
          <w:rFonts w:ascii="Arial" w:hAnsi="Arial" w:cs="Arial"/>
          <w:color w:val="auto"/>
          <w:sz w:val="24"/>
          <w:szCs w:val="24"/>
          <w:lang w:val="fr-BE"/>
        </w:rPr>
        <w:t xml:space="preserve"> indiquée</w:t>
      </w:r>
      <w:r w:rsidRPr="00C63036">
        <w:rPr>
          <w:rFonts w:ascii="Arial" w:hAnsi="Arial" w:cs="Arial"/>
          <w:color w:val="auto"/>
          <w:sz w:val="24"/>
          <w:szCs w:val="24"/>
          <w:lang w:val="fr-BE"/>
        </w:rPr>
        <w:t xml:space="preserve">. </w:t>
      </w:r>
    </w:p>
    <w:p w:rsidR="00A06853" w:rsidRPr="006B3928" w:rsidRDefault="00A06853" w:rsidP="006B3928">
      <w:pPr>
        <w:pStyle w:val="Titre4"/>
        <w:numPr>
          <w:ilvl w:val="0"/>
          <w:numId w:val="21"/>
        </w:numPr>
      </w:pPr>
      <w:r w:rsidRPr="006B3928">
        <w:t>Paiements</w:t>
      </w:r>
    </w:p>
    <w:p w:rsidR="00A06853" w:rsidRPr="003323EB" w:rsidRDefault="00A06853" w:rsidP="00A06853">
      <w:pPr>
        <w:tabs>
          <w:tab w:val="left" w:pos="567"/>
          <w:tab w:val="right" w:leader="dot" w:pos="9356"/>
        </w:tabs>
        <w:spacing w:after="240" w:line="300" w:lineRule="atLeast"/>
        <w:ind w:left="567"/>
        <w:rPr>
          <w:rFonts w:cs="Arial"/>
          <w:lang w:val="fr-BE"/>
        </w:rPr>
      </w:pPr>
      <w:r w:rsidRPr="003323EB">
        <w:rPr>
          <w:rFonts w:cs="Arial"/>
          <w:lang w:val="fr-BE"/>
        </w:rPr>
        <w:t xml:space="preserve">Les paiements seront valablement opérés par virement au compte n° …………... de l’établissement financier suivant </w:t>
      </w:r>
      <w:r w:rsidRPr="003323EB">
        <w:rPr>
          <w:rFonts w:cs="Arial"/>
          <w:b/>
          <w:i/>
          <w:vertAlign w:val="superscript"/>
          <w:lang w:val="fr-BE"/>
        </w:rPr>
        <w:t>(</w:t>
      </w:r>
      <w:r w:rsidRPr="003323EB">
        <w:rPr>
          <w:rStyle w:val="Appelnotedebasdep"/>
          <w:rFonts w:cs="Arial"/>
          <w:b/>
          <w:i/>
          <w:lang w:val="fr-BE"/>
        </w:rPr>
        <w:footnoteReference w:id="7"/>
      </w:r>
      <w:r w:rsidRPr="003323EB">
        <w:rPr>
          <w:rFonts w:cs="Arial"/>
          <w:b/>
          <w:i/>
          <w:vertAlign w:val="superscript"/>
          <w:lang w:val="fr-BE"/>
        </w:rPr>
        <w:t>)</w:t>
      </w:r>
      <w:r w:rsidRPr="003323EB">
        <w:rPr>
          <w:rFonts w:cs="Arial"/>
          <w:lang w:val="fr-BE"/>
        </w:rPr>
        <w:t xml:space="preserve"> </w:t>
      </w:r>
      <w:proofErr w:type="gramStart"/>
      <w:r w:rsidRPr="003323EB">
        <w:rPr>
          <w:rFonts w:cs="Arial"/>
          <w:lang w:val="fr-BE"/>
        </w:rPr>
        <w:t>…………………….…………………………...</w:t>
      </w:r>
      <w:proofErr w:type="gramEnd"/>
      <w:r w:rsidRPr="003323EB">
        <w:rPr>
          <w:rFonts w:cs="Arial"/>
          <w:lang w:val="fr-BE"/>
        </w:rPr>
        <w:t xml:space="preserve"> ouvert au compte de </w:t>
      </w:r>
      <w:r w:rsidRPr="003323EB">
        <w:rPr>
          <w:rFonts w:cs="Arial"/>
          <w:b/>
          <w:i/>
          <w:vertAlign w:val="superscript"/>
          <w:lang w:val="fr-BE"/>
        </w:rPr>
        <w:t>(</w:t>
      </w:r>
      <w:r w:rsidRPr="003323EB">
        <w:rPr>
          <w:rStyle w:val="Appelnotedebasdep"/>
          <w:rFonts w:cs="Arial"/>
          <w:b/>
          <w:i/>
          <w:lang w:val="fr-BE"/>
        </w:rPr>
        <w:footnoteReference w:id="8"/>
      </w:r>
      <w:r w:rsidRPr="003323EB">
        <w:rPr>
          <w:rFonts w:cs="Arial"/>
          <w:b/>
          <w:i/>
          <w:vertAlign w:val="superscript"/>
          <w:lang w:val="fr-BE"/>
        </w:rPr>
        <w:t>)</w:t>
      </w:r>
      <w:r w:rsidRPr="003323EB">
        <w:rPr>
          <w:rFonts w:cs="Arial"/>
          <w:lang w:val="fr-BE"/>
        </w:rPr>
        <w:t xml:space="preserve"> …………………………………………………………………...</w:t>
      </w:r>
    </w:p>
    <w:p w:rsidR="00A06853" w:rsidRPr="006B3928" w:rsidRDefault="00A06853" w:rsidP="006B3928">
      <w:pPr>
        <w:pStyle w:val="Titre4"/>
        <w:numPr>
          <w:ilvl w:val="0"/>
          <w:numId w:val="21"/>
        </w:numPr>
      </w:pPr>
      <w:r w:rsidRPr="006B3928">
        <w:t>Annexes</w:t>
      </w:r>
    </w:p>
    <w:p w:rsidR="00A06853" w:rsidRPr="00A06853" w:rsidRDefault="00A06853" w:rsidP="00A06853">
      <w:pPr>
        <w:pStyle w:val="Retraitcorpsdetexte3"/>
        <w:rPr>
          <w:rFonts w:cs="Arial"/>
          <w:sz w:val="24"/>
          <w:szCs w:val="24"/>
          <w:lang w:val="fr-BE"/>
        </w:rPr>
      </w:pPr>
      <w:r w:rsidRPr="00A06853">
        <w:rPr>
          <w:rFonts w:cs="Arial"/>
          <w:sz w:val="24"/>
          <w:szCs w:val="24"/>
          <w:lang w:val="fr-BE"/>
        </w:rPr>
        <w:t xml:space="preserve">Sont annexés à la présente offre: </w:t>
      </w:r>
    </w:p>
    <w:p w:rsidR="00A06853" w:rsidRPr="00006A85" w:rsidRDefault="00A06853" w:rsidP="00A06853">
      <w:pPr>
        <w:numPr>
          <w:ilvl w:val="0"/>
          <w:numId w:val="19"/>
        </w:numPr>
        <w:tabs>
          <w:tab w:val="clear" w:pos="360"/>
          <w:tab w:val="left" w:pos="567"/>
          <w:tab w:val="num" w:pos="927"/>
          <w:tab w:val="right" w:leader="dot" w:pos="9356"/>
        </w:tabs>
        <w:spacing w:before="0" w:after="240" w:line="300" w:lineRule="atLeast"/>
        <w:ind w:left="907"/>
        <w:rPr>
          <w:rFonts w:cs="Arial"/>
          <w:lang w:val="fr-BE"/>
        </w:rPr>
      </w:pPr>
      <w:r w:rsidRPr="00006A85">
        <w:rPr>
          <w:rFonts w:cs="Arial"/>
          <w:lang w:val="fr-BE"/>
        </w:rPr>
        <w:t>le métré récapitulatif</w:t>
      </w:r>
    </w:p>
    <w:p w:rsidR="00A06853" w:rsidRPr="00006A85" w:rsidRDefault="00A06853" w:rsidP="00A06853">
      <w:pPr>
        <w:numPr>
          <w:ilvl w:val="0"/>
          <w:numId w:val="19"/>
        </w:numPr>
        <w:tabs>
          <w:tab w:val="clear" w:pos="360"/>
          <w:tab w:val="left" w:pos="567"/>
          <w:tab w:val="num" w:pos="927"/>
          <w:tab w:val="right" w:leader="dot" w:pos="9356"/>
        </w:tabs>
        <w:spacing w:before="0" w:after="240" w:line="300" w:lineRule="atLeast"/>
        <w:ind w:left="907"/>
        <w:rPr>
          <w:rFonts w:cs="Arial"/>
          <w:lang w:val="fr-BE"/>
        </w:rPr>
      </w:pPr>
      <w:r w:rsidRPr="00006A85">
        <w:rPr>
          <w:rFonts w:cs="Arial"/>
          <w:lang w:val="fr-BE"/>
        </w:rPr>
        <w:t>les documents datés et signés ainsi que les modèles et échantillons exigés par le cahier spécial des charges</w:t>
      </w:r>
      <w:r w:rsidRPr="00006A85">
        <w:rPr>
          <w:rFonts w:cs="Arial"/>
          <w:b/>
          <w:i/>
          <w:vertAlign w:val="superscript"/>
          <w:lang w:val="fr-BE"/>
        </w:rPr>
        <w:t xml:space="preserve"> (</w:t>
      </w:r>
      <w:r w:rsidRPr="00006A85">
        <w:rPr>
          <w:rStyle w:val="Appelnotedebasdep"/>
          <w:rFonts w:cs="Arial"/>
          <w:b/>
          <w:i/>
          <w:lang w:val="fr-BE"/>
        </w:rPr>
        <w:footnoteReference w:id="9"/>
      </w:r>
      <w:r w:rsidRPr="00006A85">
        <w:rPr>
          <w:rFonts w:cs="Arial"/>
          <w:b/>
          <w:i/>
          <w:vertAlign w:val="superscript"/>
          <w:lang w:val="fr-BE"/>
        </w:rPr>
        <w:t>)</w:t>
      </w:r>
      <w:r w:rsidRPr="00006A85">
        <w:rPr>
          <w:rFonts w:cs="Arial"/>
          <w:b/>
          <w:lang w:val="fr-BE"/>
        </w:rPr>
        <w:t xml:space="preserve">, </w:t>
      </w:r>
      <w:r w:rsidRPr="00006A85">
        <w:rPr>
          <w:rFonts w:cs="Arial"/>
          <w:lang w:val="fr-BE"/>
        </w:rPr>
        <w:t>à savoir:</w:t>
      </w:r>
    </w:p>
    <w:p w:rsidR="00A06853" w:rsidRPr="00006A85" w:rsidRDefault="00A06853" w:rsidP="00A06853">
      <w:pPr>
        <w:pBdr>
          <w:top w:val="single" w:sz="8" w:space="1" w:color="auto"/>
          <w:left w:val="single" w:sz="8" w:space="4" w:color="auto"/>
          <w:bottom w:val="single" w:sz="8" w:space="1" w:color="auto"/>
          <w:right w:val="single" w:sz="8" w:space="4" w:color="auto"/>
        </w:pBdr>
        <w:tabs>
          <w:tab w:val="left" w:pos="567"/>
          <w:tab w:val="right" w:leader="dot" w:pos="9356"/>
        </w:tabs>
        <w:spacing w:after="240" w:line="300" w:lineRule="atLeast"/>
        <w:ind w:left="907"/>
        <w:rPr>
          <w:rFonts w:cs="Arial"/>
          <w:lang w:val="fr-BE"/>
        </w:rPr>
      </w:pPr>
      <w:r w:rsidRPr="00006A85">
        <w:rPr>
          <w:rFonts w:cs="Arial"/>
          <w:lang w:val="fr-BE"/>
        </w:rPr>
        <w:t xml:space="preserve">Indiquer explicitement la liste des documents, modèles ou échantillons exigés (notamment, la liste des documents nécessaires à la sélection qualitative, le cas échéant). </w:t>
      </w:r>
    </w:p>
    <w:p w:rsidR="00A06853" w:rsidRPr="00006A85" w:rsidRDefault="00A06853" w:rsidP="00A06853">
      <w:pPr>
        <w:pBdr>
          <w:top w:val="single" w:sz="8" w:space="1" w:color="auto"/>
          <w:left w:val="single" w:sz="8" w:space="4" w:color="auto"/>
          <w:bottom w:val="single" w:sz="8" w:space="1" w:color="auto"/>
          <w:right w:val="single" w:sz="8" w:space="4" w:color="auto"/>
        </w:pBdr>
        <w:tabs>
          <w:tab w:val="left" w:pos="567"/>
          <w:tab w:val="right" w:leader="dot" w:pos="9356"/>
        </w:tabs>
        <w:spacing w:after="240" w:line="300" w:lineRule="atLeast"/>
        <w:ind w:left="907"/>
        <w:rPr>
          <w:rFonts w:cs="Arial"/>
          <w:lang w:val="fr-BE"/>
        </w:rPr>
      </w:pPr>
      <w:r w:rsidRPr="00006A85">
        <w:rPr>
          <w:rFonts w:cs="Arial"/>
          <w:lang w:val="fr-BE"/>
        </w:rPr>
        <w:t>Il y a lieu de veiller à une parfaite correspondance entre les documents à annexer à l’offre et ceux indiqués au point 12.3 du cahier spécial des charges (Généralités).</w:t>
      </w:r>
    </w:p>
    <w:p w:rsidR="00A06853" w:rsidRPr="00006A85" w:rsidRDefault="00A06853" w:rsidP="00A06853">
      <w:pPr>
        <w:pBdr>
          <w:top w:val="single" w:sz="8" w:space="1" w:color="auto"/>
          <w:left w:val="single" w:sz="8" w:space="4" w:color="auto"/>
          <w:right w:val="single" w:sz="8" w:space="4" w:color="auto"/>
        </w:pBdr>
        <w:tabs>
          <w:tab w:val="left" w:pos="567"/>
          <w:tab w:val="right" w:leader="dot" w:pos="9356"/>
        </w:tabs>
        <w:spacing w:line="300" w:lineRule="atLeast"/>
        <w:ind w:left="907"/>
        <w:rPr>
          <w:rFonts w:cs="Arial"/>
          <w:lang w:val="fr-BE"/>
        </w:rPr>
      </w:pPr>
      <w:r w:rsidRPr="00006A85">
        <w:rPr>
          <w:rFonts w:cs="Arial"/>
          <w:lang w:val="fr-BE"/>
        </w:rPr>
        <w:t>Si un plan de sécurité et santé est joint au cahier spécial des charges, indiquer:</w:t>
      </w:r>
    </w:p>
    <w:p w:rsidR="00A06853" w:rsidRPr="00006A85" w:rsidRDefault="00A06853" w:rsidP="00A06853">
      <w:pPr>
        <w:pBdr>
          <w:left w:val="single" w:sz="8" w:space="4" w:color="auto"/>
          <w:bottom w:val="single" w:sz="8" w:space="1" w:color="auto"/>
          <w:right w:val="single" w:sz="8" w:space="4" w:color="auto"/>
        </w:pBdr>
        <w:tabs>
          <w:tab w:val="left" w:pos="567"/>
          <w:tab w:val="right" w:leader="dot" w:pos="9356"/>
        </w:tabs>
        <w:spacing w:after="240" w:line="300" w:lineRule="atLeast"/>
        <w:ind w:left="907"/>
        <w:rPr>
          <w:rFonts w:cs="Arial"/>
          <w:lang w:val="fr-BE"/>
        </w:rPr>
      </w:pPr>
      <w:r>
        <w:rPr>
          <w:rFonts w:cs="Arial"/>
          <w:lang w:val="fr-BE"/>
        </w:rPr>
        <w:t xml:space="preserve"> "</w:t>
      </w:r>
      <w:r w:rsidRPr="00006A85">
        <w:rPr>
          <w:rFonts w:cs="Arial"/>
          <w:lang w:val="fr-BE"/>
        </w:rPr>
        <w:t>- le formulaire (joint en annexe au plan de sécur</w:t>
      </w:r>
      <w:r>
        <w:rPr>
          <w:rFonts w:cs="Arial"/>
          <w:lang w:val="fr-BE"/>
        </w:rPr>
        <w:t>ité et santé) dûment complété."</w:t>
      </w:r>
    </w:p>
    <w:p w:rsidR="00A06853" w:rsidRPr="00006A85" w:rsidRDefault="00A06853" w:rsidP="00A06853">
      <w:pPr>
        <w:pStyle w:val="Corpsdetexte"/>
        <w:tabs>
          <w:tab w:val="left" w:pos="5670"/>
          <w:tab w:val="right" w:leader="dot" w:pos="9356"/>
        </w:tabs>
        <w:spacing w:line="300" w:lineRule="atLeast"/>
        <w:rPr>
          <w:rFonts w:ascii="Arial" w:hAnsi="Arial" w:cs="Arial"/>
          <w:sz w:val="20"/>
          <w:lang w:val="fr-BE"/>
        </w:rPr>
      </w:pPr>
      <w:r w:rsidRPr="00006A85">
        <w:rPr>
          <w:rFonts w:ascii="Arial" w:hAnsi="Arial" w:cs="Arial"/>
          <w:lang w:val="fr-BE"/>
        </w:rPr>
        <w:t>Fait à</w:t>
      </w:r>
      <w:r>
        <w:rPr>
          <w:rFonts w:ascii="Arial" w:hAnsi="Arial" w:cs="Arial"/>
          <w:lang w:val="fr-BE"/>
        </w:rPr>
        <w:t xml:space="preserve">              </w:t>
      </w:r>
      <w:r w:rsidRPr="00006A85">
        <w:rPr>
          <w:rFonts w:ascii="Arial" w:hAnsi="Arial" w:cs="Arial"/>
          <w:lang w:val="fr-BE"/>
        </w:rPr>
        <w:t xml:space="preserve"> , le</w:t>
      </w:r>
      <w:r w:rsidRPr="00006A85">
        <w:rPr>
          <w:rFonts w:ascii="Arial" w:hAnsi="Arial" w:cs="Arial"/>
          <w:lang w:val="fr-BE"/>
        </w:rPr>
        <w:tab/>
        <w:t>Le</w:t>
      </w:r>
      <w:r w:rsidRPr="00006A85">
        <w:rPr>
          <w:rFonts w:ascii="Arial" w:hAnsi="Arial" w:cs="Arial"/>
          <w:sz w:val="20"/>
          <w:lang w:val="fr-BE"/>
        </w:rPr>
        <w:t>(</w:t>
      </w:r>
      <w:r w:rsidRPr="00006A85">
        <w:rPr>
          <w:rFonts w:ascii="Arial" w:hAnsi="Arial" w:cs="Arial"/>
          <w:lang w:val="fr-BE"/>
        </w:rPr>
        <w:t>s</w:t>
      </w:r>
      <w:r w:rsidRPr="00006A85">
        <w:rPr>
          <w:rFonts w:ascii="Arial" w:hAnsi="Arial" w:cs="Arial"/>
          <w:sz w:val="20"/>
          <w:lang w:val="fr-BE"/>
        </w:rPr>
        <w:t>)</w:t>
      </w:r>
      <w:r w:rsidRPr="00006A85">
        <w:rPr>
          <w:rFonts w:ascii="Arial" w:hAnsi="Arial" w:cs="Arial"/>
          <w:lang w:val="fr-BE"/>
        </w:rPr>
        <w:t xml:space="preserve"> soumissionnaire</w:t>
      </w:r>
      <w:r w:rsidRPr="00006A85">
        <w:rPr>
          <w:rFonts w:ascii="Arial" w:hAnsi="Arial" w:cs="Arial"/>
          <w:sz w:val="20"/>
          <w:lang w:val="fr-BE"/>
        </w:rPr>
        <w:t>(</w:t>
      </w:r>
      <w:r w:rsidRPr="00006A85">
        <w:rPr>
          <w:rFonts w:ascii="Arial" w:hAnsi="Arial" w:cs="Arial"/>
          <w:lang w:val="fr-BE"/>
        </w:rPr>
        <w:t>s</w:t>
      </w:r>
      <w:r w:rsidRPr="00006A85">
        <w:rPr>
          <w:rFonts w:ascii="Arial" w:hAnsi="Arial" w:cs="Arial"/>
          <w:sz w:val="20"/>
          <w:lang w:val="fr-BE"/>
        </w:rPr>
        <w:t>)</w:t>
      </w:r>
    </w:p>
    <w:tbl>
      <w:tblPr>
        <w:tblW w:w="0" w:type="auto"/>
        <w:tblLayout w:type="fixed"/>
        <w:tblCellMar>
          <w:left w:w="70" w:type="dxa"/>
          <w:right w:w="70" w:type="dxa"/>
        </w:tblCellMar>
        <w:tblLook w:val="0000"/>
      </w:tblPr>
      <w:tblGrid>
        <w:gridCol w:w="4465"/>
        <w:gridCol w:w="3260"/>
        <w:gridCol w:w="1713"/>
      </w:tblGrid>
      <w:tr w:rsidR="00A06853" w:rsidRPr="00006A85" w:rsidTr="00A91145">
        <w:tc>
          <w:tcPr>
            <w:tcW w:w="4465" w:type="dxa"/>
          </w:tcPr>
          <w:p w:rsidR="00A06853" w:rsidRPr="00006A85" w:rsidRDefault="00A06853" w:rsidP="00A91145">
            <w:pPr>
              <w:tabs>
                <w:tab w:val="left" w:pos="5670"/>
                <w:tab w:val="right" w:leader="dot" w:pos="9356"/>
              </w:tabs>
              <w:spacing w:line="300" w:lineRule="atLeast"/>
              <w:rPr>
                <w:rFonts w:cs="Arial"/>
                <w:sz w:val="20"/>
                <w:lang w:val="fr-BE"/>
              </w:rPr>
            </w:pPr>
          </w:p>
        </w:tc>
        <w:tc>
          <w:tcPr>
            <w:tcW w:w="3260" w:type="dxa"/>
          </w:tcPr>
          <w:p w:rsidR="00A06853" w:rsidRPr="00006A85" w:rsidRDefault="00A06853" w:rsidP="00A91145">
            <w:pPr>
              <w:tabs>
                <w:tab w:val="left" w:pos="5670"/>
                <w:tab w:val="right" w:leader="dot" w:pos="9356"/>
              </w:tabs>
              <w:spacing w:line="300" w:lineRule="atLeast"/>
              <w:rPr>
                <w:rFonts w:cs="Arial"/>
                <w:sz w:val="20"/>
                <w:lang w:val="fr-BE"/>
              </w:rPr>
            </w:pPr>
            <w:r w:rsidRPr="00006A85">
              <w:rPr>
                <w:rFonts w:cs="Arial"/>
                <w:lang w:val="fr-BE"/>
              </w:rPr>
              <w:t>Nom(s), prénoms et qualité</w:t>
            </w:r>
          </w:p>
        </w:tc>
        <w:tc>
          <w:tcPr>
            <w:tcW w:w="1713" w:type="dxa"/>
            <w:tcBorders>
              <w:top w:val="single" w:sz="6" w:space="0" w:color="auto"/>
              <w:left w:val="single" w:sz="6" w:space="0" w:color="auto"/>
              <w:bottom w:val="single" w:sz="6" w:space="0" w:color="auto"/>
              <w:right w:val="single" w:sz="6" w:space="0" w:color="auto"/>
            </w:tcBorders>
          </w:tcPr>
          <w:p w:rsidR="00A06853" w:rsidRPr="00006A85" w:rsidRDefault="00A06853" w:rsidP="00A91145">
            <w:pPr>
              <w:tabs>
                <w:tab w:val="left" w:pos="5670"/>
                <w:tab w:val="right" w:leader="dot" w:pos="9356"/>
              </w:tabs>
              <w:spacing w:line="300" w:lineRule="atLeast"/>
              <w:jc w:val="center"/>
              <w:rPr>
                <w:rFonts w:cs="Arial"/>
                <w:sz w:val="20"/>
                <w:lang w:val="fr-BE"/>
              </w:rPr>
            </w:pPr>
            <w:r w:rsidRPr="00006A85">
              <w:rPr>
                <w:rFonts w:cs="Arial"/>
                <w:lang w:val="fr-BE"/>
              </w:rPr>
              <w:t>Cachet de l’entreprise</w:t>
            </w:r>
          </w:p>
        </w:tc>
      </w:tr>
    </w:tbl>
    <w:p w:rsidR="00A06853" w:rsidRPr="00006A85" w:rsidRDefault="00A06853" w:rsidP="00A06853">
      <w:pPr>
        <w:pBdr>
          <w:top w:val="single" w:sz="8" w:space="1" w:color="auto"/>
          <w:left w:val="single" w:sz="8" w:space="4" w:color="auto"/>
          <w:bottom w:val="single" w:sz="8" w:space="1" w:color="auto"/>
          <w:right w:val="single" w:sz="8" w:space="4" w:color="auto"/>
        </w:pBdr>
        <w:tabs>
          <w:tab w:val="left" w:pos="567"/>
          <w:tab w:val="right" w:leader="dot" w:pos="9356"/>
        </w:tabs>
        <w:spacing w:after="120" w:line="300" w:lineRule="atLeast"/>
        <w:rPr>
          <w:rFonts w:cs="Arial"/>
          <w:i/>
          <w:lang w:val="fr-BE"/>
        </w:rPr>
      </w:pPr>
      <w:r w:rsidRPr="00006A85">
        <w:rPr>
          <w:rFonts w:cs="Arial"/>
          <w:i/>
          <w:lang w:val="fr-BE"/>
        </w:rPr>
        <w:t>Remarque importante</w:t>
      </w:r>
    </w:p>
    <w:p w:rsidR="00A06853" w:rsidRPr="00006A85" w:rsidRDefault="00A06853" w:rsidP="00A06853">
      <w:pPr>
        <w:pBdr>
          <w:top w:val="single" w:sz="8" w:space="1" w:color="auto"/>
          <w:left w:val="single" w:sz="8" w:space="4" w:color="auto"/>
          <w:bottom w:val="single" w:sz="8" w:space="1" w:color="auto"/>
          <w:right w:val="single" w:sz="8" w:space="4" w:color="auto"/>
        </w:pBdr>
        <w:tabs>
          <w:tab w:val="left" w:pos="567"/>
          <w:tab w:val="right" w:leader="dot" w:pos="9356"/>
        </w:tabs>
        <w:spacing w:after="240" w:line="300" w:lineRule="atLeast"/>
        <w:rPr>
          <w:rFonts w:cs="Arial"/>
          <w:i/>
          <w:lang w:val="fr-BE"/>
        </w:rPr>
      </w:pPr>
      <w:r w:rsidRPr="00006A85">
        <w:rPr>
          <w:rFonts w:cs="Arial"/>
          <w:i/>
          <w:lang w:val="fr-BE"/>
        </w:rPr>
        <w:t>Si le soumissionnaire établit son offre et le métré récapitulatif sur d’autres documents que les modèles fournis, il supporte l’entière responsabilité de la parfaite concordance entre les documents qu’il a utilisés et les documents du marché (art. 77 de l’arrêté royal du 18 avril 2017</w:t>
      </w:r>
      <w:r>
        <w:rPr>
          <w:rFonts w:cs="Arial"/>
          <w:i/>
          <w:lang w:val="fr-BE"/>
        </w:rPr>
        <w:t>)</w:t>
      </w:r>
      <w:r w:rsidRPr="00006A85">
        <w:rPr>
          <w:rFonts w:cs="Arial"/>
          <w:i/>
          <w:lang w:val="fr-BE"/>
        </w:rPr>
        <w:t>.</w:t>
      </w:r>
    </w:p>
    <w:p w:rsidR="00A06853" w:rsidRPr="00006A85" w:rsidRDefault="00A06853" w:rsidP="00A06853">
      <w:pPr>
        <w:pBdr>
          <w:top w:val="single" w:sz="8" w:space="1" w:color="auto"/>
          <w:left w:val="single" w:sz="8" w:space="4" w:color="auto"/>
          <w:bottom w:val="single" w:sz="8" w:space="1" w:color="auto"/>
          <w:right w:val="single" w:sz="8" w:space="4" w:color="auto"/>
        </w:pBdr>
        <w:tabs>
          <w:tab w:val="left" w:pos="567"/>
          <w:tab w:val="right" w:leader="dot" w:pos="9356"/>
        </w:tabs>
        <w:spacing w:line="300" w:lineRule="atLeast"/>
        <w:rPr>
          <w:rFonts w:cs="Arial"/>
          <w:i/>
          <w:lang w:val="fr-BE"/>
        </w:rPr>
      </w:pPr>
      <w:r w:rsidRPr="00006A85">
        <w:rPr>
          <w:rFonts w:cs="Arial"/>
          <w:i/>
          <w:lang w:val="fr-BE"/>
        </w:rPr>
        <w:t>Sont déclarés irréguliers, les métrés qui ne contiennent pas notamment:</w:t>
      </w:r>
    </w:p>
    <w:p w:rsidR="00A06853" w:rsidRPr="00006A85" w:rsidRDefault="00A06853" w:rsidP="00A06853">
      <w:pPr>
        <w:numPr>
          <w:ilvl w:val="0"/>
          <w:numId w:val="20"/>
        </w:numPr>
        <w:pBdr>
          <w:top w:val="single" w:sz="8" w:space="1" w:color="auto"/>
          <w:left w:val="single" w:sz="8" w:space="4" w:color="auto"/>
          <w:bottom w:val="single" w:sz="8" w:space="1" w:color="auto"/>
          <w:right w:val="single" w:sz="8" w:space="4" w:color="auto"/>
        </w:pBdr>
        <w:tabs>
          <w:tab w:val="left" w:pos="567"/>
          <w:tab w:val="right" w:leader="dot" w:pos="9356"/>
        </w:tabs>
        <w:spacing w:before="0" w:line="300" w:lineRule="atLeast"/>
        <w:jc w:val="left"/>
        <w:rPr>
          <w:rFonts w:cs="Arial"/>
          <w:i/>
          <w:lang w:val="fr-BE"/>
        </w:rPr>
      </w:pPr>
      <w:r w:rsidRPr="00006A85">
        <w:rPr>
          <w:rFonts w:cs="Arial"/>
          <w:i/>
          <w:lang w:val="fr-BE"/>
        </w:rPr>
        <w:t>les numéros de postes du CPN</w:t>
      </w:r>
    </w:p>
    <w:p w:rsidR="00A06853" w:rsidRPr="00006A85" w:rsidRDefault="00A06853" w:rsidP="00A06853">
      <w:pPr>
        <w:numPr>
          <w:ilvl w:val="0"/>
          <w:numId w:val="20"/>
        </w:numPr>
        <w:pBdr>
          <w:top w:val="single" w:sz="8" w:space="1" w:color="auto"/>
          <w:left w:val="single" w:sz="8" w:space="4" w:color="auto"/>
          <w:bottom w:val="single" w:sz="8" w:space="1" w:color="auto"/>
          <w:right w:val="single" w:sz="8" w:space="4" w:color="auto"/>
        </w:pBdr>
        <w:tabs>
          <w:tab w:val="left" w:pos="567"/>
          <w:tab w:val="right" w:leader="dot" w:pos="9356"/>
        </w:tabs>
        <w:spacing w:before="0" w:line="300" w:lineRule="atLeast"/>
        <w:jc w:val="left"/>
        <w:rPr>
          <w:rFonts w:cs="Arial"/>
          <w:i/>
          <w:lang w:val="fr-BE"/>
        </w:rPr>
      </w:pPr>
      <w:r w:rsidRPr="00006A85">
        <w:rPr>
          <w:rFonts w:cs="Arial"/>
          <w:i/>
          <w:lang w:val="fr-BE"/>
        </w:rPr>
        <w:t>les références aux prescriptions techniques du CCT QUALIROUTES</w:t>
      </w:r>
      <w:r>
        <w:rPr>
          <w:rFonts w:cs="Arial"/>
          <w:i/>
          <w:lang w:val="fr-BE"/>
        </w:rPr>
        <w:t>.</w:t>
      </w:r>
    </w:p>
    <w:p w:rsidR="00A06853" w:rsidRPr="00006A85" w:rsidRDefault="00A06853" w:rsidP="00A06853">
      <w:pPr>
        <w:numPr>
          <w:ilvl w:val="0"/>
          <w:numId w:val="20"/>
        </w:numPr>
        <w:pBdr>
          <w:top w:val="single" w:sz="8" w:space="1" w:color="auto"/>
          <w:left w:val="single" w:sz="8" w:space="4" w:color="auto"/>
          <w:bottom w:val="single" w:sz="8" w:space="1" w:color="auto"/>
          <w:right w:val="single" w:sz="8" w:space="4" w:color="auto"/>
        </w:pBdr>
        <w:tabs>
          <w:tab w:val="left" w:pos="567"/>
          <w:tab w:val="right" w:leader="dot" w:pos="9356"/>
        </w:tabs>
        <w:spacing w:before="0" w:line="300" w:lineRule="atLeast"/>
        <w:jc w:val="left"/>
        <w:rPr>
          <w:rFonts w:cs="Arial"/>
          <w:i/>
          <w:lang w:val="fr-BE"/>
        </w:rPr>
      </w:pPr>
      <w:r w:rsidRPr="00006A85">
        <w:rPr>
          <w:rFonts w:cs="Arial"/>
          <w:i/>
          <w:lang w:val="fr-BE"/>
        </w:rPr>
        <w:t>le montant total de l'offre et les prix unitaires exprimés en toutes lettres et en chiffres.</w:t>
      </w:r>
    </w:p>
    <w:p w:rsidR="000412BA" w:rsidRPr="006B3928" w:rsidRDefault="000412BA" w:rsidP="006B3928">
      <w:pPr>
        <w:rPr>
          <w:rFonts w:cs="Arial"/>
          <w:lang w:val="fr-BE"/>
        </w:rPr>
      </w:pPr>
    </w:p>
    <w:sectPr w:rsidR="000412BA" w:rsidRPr="006B3928" w:rsidSect="00A06853">
      <w:pgSz w:w="11906" w:h="16838"/>
      <w:pgMar w:top="1440" w:right="1080" w:bottom="993"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72B" w:rsidRDefault="004D072B" w:rsidP="0082286B">
      <w:pPr>
        <w:spacing w:before="0"/>
      </w:pPr>
      <w:r>
        <w:separator/>
      </w:r>
    </w:p>
  </w:endnote>
  <w:endnote w:type="continuationSeparator" w:id="0">
    <w:p w:rsidR="004D072B" w:rsidRDefault="004D072B" w:rsidP="0082286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Gras">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72B" w:rsidRDefault="004D072B" w:rsidP="0082286B">
      <w:pPr>
        <w:spacing w:before="0"/>
      </w:pPr>
      <w:r>
        <w:separator/>
      </w:r>
    </w:p>
  </w:footnote>
  <w:footnote w:type="continuationSeparator" w:id="0">
    <w:p w:rsidR="004D072B" w:rsidRDefault="004D072B" w:rsidP="0082286B">
      <w:pPr>
        <w:spacing w:before="0"/>
      </w:pPr>
      <w:r>
        <w:continuationSeparator/>
      </w:r>
    </w:p>
  </w:footnote>
  <w:footnote w:id="1">
    <w:p w:rsidR="002A28DE" w:rsidRDefault="002A28DE" w:rsidP="00A06853">
      <w:pPr>
        <w:pStyle w:val="Notedebasdepage"/>
        <w:tabs>
          <w:tab w:val="left" w:pos="284"/>
        </w:tabs>
        <w:ind w:left="284" w:hanging="284"/>
        <w:rPr>
          <w:b/>
        </w:rPr>
      </w:pPr>
      <w:r>
        <w:rPr>
          <w:rStyle w:val="Appelnotedebasdep"/>
          <w:b/>
        </w:rPr>
        <w:footnoteRef/>
      </w:r>
      <w:r>
        <w:rPr>
          <w:b/>
        </w:rPr>
        <w:t xml:space="preserve"> </w:t>
      </w:r>
      <w:r>
        <w:rPr>
          <w:b/>
        </w:rPr>
        <w:tab/>
      </w:r>
      <w:r w:rsidRPr="00A06853">
        <w:rPr>
          <w:b/>
          <w:color w:val="000000" w:themeColor="text1"/>
        </w:rPr>
        <w:t>Biffer la mention inutile.</w:t>
      </w:r>
    </w:p>
  </w:footnote>
  <w:footnote w:id="2">
    <w:p w:rsidR="002A28DE" w:rsidRPr="00A06853" w:rsidRDefault="002A28DE" w:rsidP="00A06853">
      <w:pPr>
        <w:pStyle w:val="Notedebasdepage"/>
        <w:tabs>
          <w:tab w:val="left" w:pos="284"/>
        </w:tabs>
        <w:rPr>
          <w:b/>
          <w:color w:val="000000" w:themeColor="text1"/>
        </w:rPr>
      </w:pPr>
      <w:r w:rsidRPr="00A06853">
        <w:rPr>
          <w:rStyle w:val="Appelnotedebasdep"/>
          <w:b/>
          <w:color w:val="000000" w:themeColor="text1"/>
        </w:rPr>
        <w:footnoteRef/>
      </w:r>
      <w:r w:rsidRPr="00A06853">
        <w:rPr>
          <w:color w:val="000000" w:themeColor="text1"/>
        </w:rPr>
        <w:tab/>
      </w:r>
      <w:r w:rsidRPr="00A06853">
        <w:rPr>
          <w:b/>
          <w:color w:val="000000" w:themeColor="text1"/>
        </w:rPr>
        <w:t>A compléter le cas échéant</w:t>
      </w:r>
    </w:p>
  </w:footnote>
  <w:footnote w:id="3">
    <w:p w:rsidR="002A28DE" w:rsidRDefault="002A28DE" w:rsidP="00A06853">
      <w:pPr>
        <w:pStyle w:val="Notedebasdepage"/>
        <w:tabs>
          <w:tab w:val="left" w:pos="284"/>
        </w:tabs>
        <w:ind w:left="284" w:hanging="284"/>
        <w:rPr>
          <w:rStyle w:val="Appelnotedebasdep"/>
          <w:b/>
        </w:rPr>
      </w:pPr>
      <w:r w:rsidRPr="00A06853">
        <w:rPr>
          <w:rStyle w:val="Appelnotedebasdep"/>
          <w:b/>
          <w:color w:val="000000" w:themeColor="text1"/>
        </w:rPr>
        <w:footnoteRef/>
      </w:r>
      <w:r w:rsidRPr="00A06853">
        <w:rPr>
          <w:b/>
          <w:color w:val="000000" w:themeColor="text1"/>
        </w:rPr>
        <w:t xml:space="preserve"> </w:t>
      </w:r>
      <w:r w:rsidRPr="00A06853">
        <w:rPr>
          <w:b/>
          <w:color w:val="000000" w:themeColor="text1"/>
        </w:rPr>
        <w:tab/>
        <w:t>Biffer la mention qui n’est pas d’application.</w:t>
      </w:r>
    </w:p>
  </w:footnote>
  <w:footnote w:id="4">
    <w:p w:rsidR="002A28DE" w:rsidRPr="00006A85" w:rsidRDefault="002A28DE" w:rsidP="00A06853">
      <w:pPr>
        <w:pStyle w:val="Notedebasdepage"/>
        <w:tabs>
          <w:tab w:val="left" w:pos="284"/>
        </w:tabs>
        <w:spacing w:line="240" w:lineRule="auto"/>
        <w:ind w:left="284" w:hanging="284"/>
        <w:rPr>
          <w:rFonts w:ascii="Arial" w:hAnsi="Arial" w:cs="Arial"/>
          <w:color w:val="auto"/>
          <w:lang w:val="fr-BE"/>
        </w:rPr>
      </w:pPr>
      <w:r w:rsidRPr="00006A85">
        <w:rPr>
          <w:rStyle w:val="Appelnotedebasdep"/>
          <w:rFonts w:ascii="Arial" w:hAnsi="Arial" w:cs="Arial"/>
          <w:color w:val="auto"/>
        </w:rPr>
        <w:footnoteRef/>
      </w:r>
      <w:r w:rsidRPr="00006A85">
        <w:rPr>
          <w:rFonts w:ascii="Arial" w:hAnsi="Arial" w:cs="Arial"/>
          <w:color w:val="auto"/>
        </w:rPr>
        <w:tab/>
        <w:t>Les classes d'agréation de l'entrepreneur et de ses sous-traitants répondent conjointement aux prescriptions du marché.</w:t>
      </w:r>
    </w:p>
  </w:footnote>
  <w:footnote w:id="5">
    <w:p w:rsidR="002A28DE" w:rsidRPr="00FA2F29" w:rsidRDefault="002A28DE" w:rsidP="00A06853">
      <w:pPr>
        <w:pStyle w:val="Notedebasdepage"/>
        <w:rPr>
          <w:color w:val="auto"/>
          <w:lang w:val="fr-BE"/>
        </w:rPr>
      </w:pPr>
      <w:r w:rsidRPr="00006A85">
        <w:rPr>
          <w:rStyle w:val="Appelnotedebasdep"/>
          <w:rFonts w:ascii="Arial" w:hAnsi="Arial" w:cs="Arial"/>
          <w:color w:val="auto"/>
        </w:rPr>
        <w:footnoteRef/>
      </w:r>
      <w:r>
        <w:rPr>
          <w:rFonts w:ascii="Arial" w:hAnsi="Arial" w:cs="Arial"/>
          <w:color w:val="auto"/>
        </w:rPr>
        <w:t xml:space="preserve">    </w:t>
      </w:r>
      <w:r w:rsidRPr="00006A85">
        <w:rPr>
          <w:rFonts w:ascii="Arial" w:hAnsi="Arial" w:cs="Arial"/>
          <w:color w:val="auto"/>
        </w:rPr>
        <w:t>Si les documents du marché le requièrent</w:t>
      </w:r>
    </w:p>
  </w:footnote>
  <w:footnote w:id="6">
    <w:p w:rsidR="002A28DE" w:rsidRPr="00C63036" w:rsidRDefault="002A28DE" w:rsidP="00A06853">
      <w:pPr>
        <w:pStyle w:val="Notedebasdepage"/>
        <w:rPr>
          <w:rFonts w:ascii="Arial" w:hAnsi="Arial" w:cs="Arial"/>
          <w:color w:val="auto"/>
          <w:lang w:val="fr-BE"/>
        </w:rPr>
      </w:pPr>
      <w:r w:rsidRPr="00C63036">
        <w:rPr>
          <w:rStyle w:val="Appelnotedebasdep"/>
          <w:rFonts w:ascii="Arial" w:hAnsi="Arial" w:cs="Arial"/>
          <w:color w:val="auto"/>
        </w:rPr>
        <w:footnoteRef/>
      </w:r>
      <w:r w:rsidRPr="00C63036">
        <w:rPr>
          <w:rFonts w:ascii="Arial" w:hAnsi="Arial" w:cs="Arial"/>
          <w:color w:val="auto"/>
        </w:rPr>
        <w:t xml:space="preserve">    A préciser</w:t>
      </w:r>
    </w:p>
  </w:footnote>
  <w:footnote w:id="7">
    <w:p w:rsidR="002A28DE" w:rsidRPr="003323EB" w:rsidRDefault="002A28DE" w:rsidP="00A06853">
      <w:pPr>
        <w:pStyle w:val="Notedebasdepage"/>
        <w:tabs>
          <w:tab w:val="left" w:pos="284"/>
        </w:tabs>
        <w:spacing w:line="240" w:lineRule="auto"/>
        <w:ind w:left="284" w:hanging="284"/>
        <w:jc w:val="both"/>
        <w:rPr>
          <w:rFonts w:ascii="Arial" w:hAnsi="Arial" w:cs="Arial"/>
          <w:b/>
          <w:color w:val="auto"/>
          <w:sz w:val="18"/>
          <w:szCs w:val="18"/>
        </w:rPr>
      </w:pPr>
      <w:r w:rsidRPr="003323EB">
        <w:rPr>
          <w:rStyle w:val="Appelnotedebasdep"/>
          <w:rFonts w:ascii="Arial" w:hAnsi="Arial" w:cs="Arial"/>
          <w:b/>
          <w:color w:val="auto"/>
          <w:sz w:val="18"/>
          <w:szCs w:val="18"/>
        </w:rPr>
        <w:footnoteRef/>
      </w:r>
      <w:r w:rsidRPr="003323EB">
        <w:rPr>
          <w:rFonts w:ascii="Arial" w:hAnsi="Arial" w:cs="Arial"/>
          <w:b/>
          <w:color w:val="auto"/>
          <w:sz w:val="18"/>
          <w:szCs w:val="18"/>
        </w:rPr>
        <w:t xml:space="preserve"> </w:t>
      </w:r>
      <w:r w:rsidRPr="003323EB">
        <w:rPr>
          <w:rFonts w:ascii="Arial" w:hAnsi="Arial" w:cs="Arial"/>
          <w:b/>
          <w:color w:val="auto"/>
          <w:sz w:val="18"/>
          <w:szCs w:val="18"/>
        </w:rPr>
        <w:tab/>
        <w:t>Dénomination exacte de l’établissement financier.</w:t>
      </w:r>
    </w:p>
  </w:footnote>
  <w:footnote w:id="8">
    <w:p w:rsidR="002A28DE" w:rsidRPr="003323EB" w:rsidRDefault="002A28DE" w:rsidP="00A06853">
      <w:pPr>
        <w:pStyle w:val="Notedebasdepage"/>
        <w:tabs>
          <w:tab w:val="left" w:pos="284"/>
        </w:tabs>
        <w:spacing w:line="240" w:lineRule="auto"/>
        <w:ind w:left="284" w:hanging="284"/>
        <w:jc w:val="both"/>
        <w:rPr>
          <w:rFonts w:ascii="Arial" w:hAnsi="Arial" w:cs="Arial"/>
          <w:b/>
          <w:color w:val="auto"/>
          <w:sz w:val="18"/>
          <w:szCs w:val="18"/>
        </w:rPr>
      </w:pPr>
      <w:r w:rsidRPr="003323EB">
        <w:rPr>
          <w:rStyle w:val="Appelnotedebasdep"/>
          <w:rFonts w:ascii="Arial" w:hAnsi="Arial" w:cs="Arial"/>
          <w:b/>
          <w:color w:val="auto"/>
          <w:sz w:val="18"/>
          <w:szCs w:val="18"/>
        </w:rPr>
        <w:footnoteRef/>
      </w:r>
      <w:r w:rsidRPr="003323EB">
        <w:rPr>
          <w:rFonts w:ascii="Arial" w:hAnsi="Arial" w:cs="Arial"/>
          <w:b/>
          <w:color w:val="auto"/>
          <w:sz w:val="18"/>
          <w:szCs w:val="18"/>
        </w:rPr>
        <w:t xml:space="preserve"> </w:t>
      </w:r>
      <w:r w:rsidRPr="003323EB">
        <w:rPr>
          <w:rFonts w:ascii="Arial" w:hAnsi="Arial" w:cs="Arial"/>
          <w:b/>
          <w:color w:val="auto"/>
          <w:sz w:val="18"/>
          <w:szCs w:val="18"/>
        </w:rPr>
        <w:tab/>
        <w:t>Dénomination exacte du compte.</w:t>
      </w:r>
    </w:p>
  </w:footnote>
  <w:footnote w:id="9">
    <w:p w:rsidR="002A28DE" w:rsidRPr="00006A85" w:rsidRDefault="002A28DE" w:rsidP="00A06853">
      <w:pPr>
        <w:pStyle w:val="Notedebasdepage"/>
        <w:tabs>
          <w:tab w:val="left" w:pos="284"/>
        </w:tabs>
        <w:spacing w:line="240" w:lineRule="auto"/>
        <w:ind w:left="284" w:hanging="284"/>
        <w:jc w:val="both"/>
        <w:rPr>
          <w:rFonts w:ascii="Arial" w:hAnsi="Arial" w:cs="Arial"/>
          <w:b/>
          <w:color w:val="auto"/>
        </w:rPr>
      </w:pPr>
      <w:r w:rsidRPr="00006A85">
        <w:rPr>
          <w:rStyle w:val="Appelnotedebasdep"/>
          <w:rFonts w:ascii="Arial" w:hAnsi="Arial" w:cs="Arial"/>
          <w:b/>
          <w:color w:val="auto"/>
        </w:rPr>
        <w:footnoteRef/>
      </w:r>
      <w:r w:rsidRPr="00006A85">
        <w:rPr>
          <w:rFonts w:ascii="Arial" w:hAnsi="Arial" w:cs="Arial"/>
          <w:b/>
          <w:color w:val="auto"/>
        </w:rPr>
        <w:t xml:space="preserve"> </w:t>
      </w:r>
      <w:r w:rsidRPr="00006A85">
        <w:rPr>
          <w:rFonts w:ascii="Arial" w:hAnsi="Arial" w:cs="Arial"/>
          <w:b/>
          <w:color w:val="auto"/>
        </w:rPr>
        <w:tab/>
        <w:t>Biffer les mentions inutiles.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D8464B"/>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2">
    <w:nsid w:val="09EB2815"/>
    <w:multiLevelType w:val="singleLevel"/>
    <w:tmpl w:val="615C793C"/>
    <w:lvl w:ilvl="0">
      <w:start w:val="1"/>
      <w:numFmt w:val="bullet"/>
      <w:lvlText w:val=""/>
      <w:lvlJc w:val="left"/>
      <w:pPr>
        <w:tabs>
          <w:tab w:val="num" w:pos="360"/>
        </w:tabs>
        <w:ind w:left="340" w:hanging="340"/>
      </w:pPr>
      <w:rPr>
        <w:rFonts w:ascii="Symbol" w:hAnsi="Symbol" w:hint="default"/>
      </w:rPr>
    </w:lvl>
  </w:abstractNum>
  <w:abstractNum w:abstractNumId="3">
    <w:nsid w:val="0B5459DD"/>
    <w:multiLevelType w:val="hybridMultilevel"/>
    <w:tmpl w:val="7E58726A"/>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
    <w:nsid w:val="132531E4"/>
    <w:multiLevelType w:val="hybridMultilevel"/>
    <w:tmpl w:val="5002C9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33B6193"/>
    <w:multiLevelType w:val="hybridMultilevel"/>
    <w:tmpl w:val="1392422C"/>
    <w:lvl w:ilvl="0" w:tplc="080C0001">
      <w:start w:val="1"/>
      <w:numFmt w:val="bullet"/>
      <w:lvlText w:val=""/>
      <w:lvlJc w:val="left"/>
      <w:pPr>
        <w:ind w:left="778" w:hanging="360"/>
      </w:pPr>
      <w:rPr>
        <w:rFonts w:ascii="Symbol" w:hAnsi="Symbol" w:hint="default"/>
      </w:rPr>
    </w:lvl>
    <w:lvl w:ilvl="1" w:tplc="080C0003" w:tentative="1">
      <w:start w:val="1"/>
      <w:numFmt w:val="bullet"/>
      <w:lvlText w:val="o"/>
      <w:lvlJc w:val="left"/>
      <w:pPr>
        <w:ind w:left="1498" w:hanging="360"/>
      </w:pPr>
      <w:rPr>
        <w:rFonts w:ascii="Courier New" w:hAnsi="Courier New" w:cs="Courier New" w:hint="default"/>
      </w:rPr>
    </w:lvl>
    <w:lvl w:ilvl="2" w:tplc="080C0005" w:tentative="1">
      <w:start w:val="1"/>
      <w:numFmt w:val="bullet"/>
      <w:lvlText w:val=""/>
      <w:lvlJc w:val="left"/>
      <w:pPr>
        <w:ind w:left="2218" w:hanging="360"/>
      </w:pPr>
      <w:rPr>
        <w:rFonts w:ascii="Wingdings" w:hAnsi="Wingdings" w:hint="default"/>
      </w:rPr>
    </w:lvl>
    <w:lvl w:ilvl="3" w:tplc="080C0001" w:tentative="1">
      <w:start w:val="1"/>
      <w:numFmt w:val="bullet"/>
      <w:lvlText w:val=""/>
      <w:lvlJc w:val="left"/>
      <w:pPr>
        <w:ind w:left="2938" w:hanging="360"/>
      </w:pPr>
      <w:rPr>
        <w:rFonts w:ascii="Symbol" w:hAnsi="Symbol" w:hint="default"/>
      </w:rPr>
    </w:lvl>
    <w:lvl w:ilvl="4" w:tplc="080C0003" w:tentative="1">
      <w:start w:val="1"/>
      <w:numFmt w:val="bullet"/>
      <w:lvlText w:val="o"/>
      <w:lvlJc w:val="left"/>
      <w:pPr>
        <w:ind w:left="3658" w:hanging="360"/>
      </w:pPr>
      <w:rPr>
        <w:rFonts w:ascii="Courier New" w:hAnsi="Courier New" w:cs="Courier New" w:hint="default"/>
      </w:rPr>
    </w:lvl>
    <w:lvl w:ilvl="5" w:tplc="080C0005" w:tentative="1">
      <w:start w:val="1"/>
      <w:numFmt w:val="bullet"/>
      <w:lvlText w:val=""/>
      <w:lvlJc w:val="left"/>
      <w:pPr>
        <w:ind w:left="4378" w:hanging="360"/>
      </w:pPr>
      <w:rPr>
        <w:rFonts w:ascii="Wingdings" w:hAnsi="Wingdings" w:hint="default"/>
      </w:rPr>
    </w:lvl>
    <w:lvl w:ilvl="6" w:tplc="080C0001" w:tentative="1">
      <w:start w:val="1"/>
      <w:numFmt w:val="bullet"/>
      <w:lvlText w:val=""/>
      <w:lvlJc w:val="left"/>
      <w:pPr>
        <w:ind w:left="5098" w:hanging="360"/>
      </w:pPr>
      <w:rPr>
        <w:rFonts w:ascii="Symbol" w:hAnsi="Symbol" w:hint="default"/>
      </w:rPr>
    </w:lvl>
    <w:lvl w:ilvl="7" w:tplc="080C0003" w:tentative="1">
      <w:start w:val="1"/>
      <w:numFmt w:val="bullet"/>
      <w:lvlText w:val="o"/>
      <w:lvlJc w:val="left"/>
      <w:pPr>
        <w:ind w:left="5818" w:hanging="360"/>
      </w:pPr>
      <w:rPr>
        <w:rFonts w:ascii="Courier New" w:hAnsi="Courier New" w:cs="Courier New" w:hint="default"/>
      </w:rPr>
    </w:lvl>
    <w:lvl w:ilvl="8" w:tplc="080C0005" w:tentative="1">
      <w:start w:val="1"/>
      <w:numFmt w:val="bullet"/>
      <w:lvlText w:val=""/>
      <w:lvlJc w:val="left"/>
      <w:pPr>
        <w:ind w:left="6538" w:hanging="360"/>
      </w:pPr>
      <w:rPr>
        <w:rFonts w:ascii="Wingdings" w:hAnsi="Wingdings" w:hint="default"/>
      </w:rPr>
    </w:lvl>
  </w:abstractNum>
  <w:abstractNum w:abstractNumId="6">
    <w:nsid w:val="2A746604"/>
    <w:multiLevelType w:val="singleLevel"/>
    <w:tmpl w:val="D9DC5C22"/>
    <w:lvl w:ilvl="0">
      <w:start w:val="1"/>
      <w:numFmt w:val="decimal"/>
      <w:lvlText w:val="%1."/>
      <w:legacy w:legacy="1" w:legacySpace="0" w:legacyIndent="283"/>
      <w:lvlJc w:val="left"/>
      <w:pPr>
        <w:ind w:left="283" w:hanging="283"/>
      </w:pPr>
    </w:lvl>
  </w:abstractNum>
  <w:abstractNum w:abstractNumId="7">
    <w:nsid w:val="2B447F72"/>
    <w:multiLevelType w:val="hybridMultilevel"/>
    <w:tmpl w:val="1700B7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1AC563C"/>
    <w:multiLevelType w:val="hybridMultilevel"/>
    <w:tmpl w:val="8C38E856"/>
    <w:lvl w:ilvl="0" w:tplc="D48238B2">
      <w:start w:val="1"/>
      <w:numFmt w:val="bullet"/>
      <w:pStyle w:val="Puces0-2"/>
      <w:lvlText w:val="-"/>
      <w:lvlJc w:val="left"/>
      <w:pPr>
        <w:ind w:left="754" w:hanging="360"/>
      </w:pPr>
      <w:rPr>
        <w:rFonts w:ascii="Arial" w:hAnsi="Arial" w:hint="default"/>
      </w:rPr>
    </w:lvl>
    <w:lvl w:ilvl="1" w:tplc="080C0003">
      <w:start w:val="1"/>
      <w:numFmt w:val="bullet"/>
      <w:lvlText w:val="o"/>
      <w:lvlJc w:val="left"/>
      <w:pPr>
        <w:ind w:left="1474" w:hanging="360"/>
      </w:pPr>
      <w:rPr>
        <w:rFonts w:ascii="Courier New" w:hAnsi="Courier New" w:cs="Courier New" w:hint="default"/>
      </w:rPr>
    </w:lvl>
    <w:lvl w:ilvl="2" w:tplc="080C0005" w:tentative="1">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9">
    <w:nsid w:val="323D044E"/>
    <w:multiLevelType w:val="hybridMultilevel"/>
    <w:tmpl w:val="A258A580"/>
    <w:lvl w:ilvl="0" w:tplc="CFBABBDC">
      <w:start w:val="1"/>
      <w:numFmt w:val="upperLetter"/>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53C00E0"/>
    <w:multiLevelType w:val="hybridMultilevel"/>
    <w:tmpl w:val="E056C3BC"/>
    <w:lvl w:ilvl="0" w:tplc="046E72CE">
      <w:start w:val="1"/>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72430F7"/>
    <w:multiLevelType w:val="hybridMultilevel"/>
    <w:tmpl w:val="4BC41038"/>
    <w:lvl w:ilvl="0" w:tplc="CFBABBDC">
      <w:start w:val="1"/>
      <w:numFmt w:val="upperLetter"/>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8735CBA"/>
    <w:multiLevelType w:val="singleLevel"/>
    <w:tmpl w:val="485C4788"/>
    <w:lvl w:ilvl="0">
      <w:numFmt w:val="bullet"/>
      <w:pStyle w:val="Puces1"/>
      <w:lvlText w:val="–"/>
      <w:lvlJc w:val="left"/>
      <w:pPr>
        <w:tabs>
          <w:tab w:val="num" w:pos="360"/>
        </w:tabs>
        <w:ind w:left="360" w:hanging="360"/>
      </w:pPr>
      <w:rPr>
        <w:rFonts w:ascii="Arial" w:hAnsi="Arial" w:hint="default"/>
      </w:rPr>
    </w:lvl>
  </w:abstractNum>
  <w:abstractNum w:abstractNumId="13">
    <w:nsid w:val="390E0D96"/>
    <w:multiLevelType w:val="hybridMultilevel"/>
    <w:tmpl w:val="3CB09F42"/>
    <w:lvl w:ilvl="0" w:tplc="4D38D1B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9F352AE"/>
    <w:multiLevelType w:val="hybridMultilevel"/>
    <w:tmpl w:val="D5E40E52"/>
    <w:lvl w:ilvl="0" w:tplc="A9C8022E">
      <w:start w:val="9"/>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B8A6AA5"/>
    <w:multiLevelType w:val="hybridMultilevel"/>
    <w:tmpl w:val="06BEE38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F433260"/>
    <w:multiLevelType w:val="singleLevel"/>
    <w:tmpl w:val="D792893C"/>
    <w:lvl w:ilvl="0">
      <w:numFmt w:val="bullet"/>
      <w:pStyle w:val="Puces2"/>
      <w:lvlText w:val="–"/>
      <w:lvlJc w:val="left"/>
      <w:pPr>
        <w:tabs>
          <w:tab w:val="num" w:pos="360"/>
        </w:tabs>
        <w:ind w:left="360" w:hanging="360"/>
      </w:pPr>
      <w:rPr>
        <w:rFonts w:ascii="Arial" w:hAnsi="Arial" w:hint="default"/>
      </w:rPr>
    </w:lvl>
  </w:abstractNum>
  <w:abstractNum w:abstractNumId="17">
    <w:nsid w:val="40220FCE"/>
    <w:multiLevelType w:val="singleLevel"/>
    <w:tmpl w:val="B1CC8700"/>
    <w:lvl w:ilvl="0">
      <w:start w:val="1"/>
      <w:numFmt w:val="bullet"/>
      <w:lvlText w:val="–"/>
      <w:lvlJc w:val="left"/>
      <w:pPr>
        <w:tabs>
          <w:tab w:val="num" w:pos="360"/>
        </w:tabs>
        <w:ind w:left="360" w:hanging="360"/>
      </w:pPr>
      <w:rPr>
        <w:rFonts w:ascii="Arial" w:hAnsi="Arial" w:hint="default"/>
      </w:rPr>
    </w:lvl>
  </w:abstractNum>
  <w:abstractNum w:abstractNumId="18">
    <w:nsid w:val="40A672D5"/>
    <w:multiLevelType w:val="singleLevel"/>
    <w:tmpl w:val="C884F246"/>
    <w:lvl w:ilvl="0">
      <w:numFmt w:val="bullet"/>
      <w:lvlText w:val="-"/>
      <w:lvlJc w:val="left"/>
      <w:pPr>
        <w:tabs>
          <w:tab w:val="num" w:pos="1860"/>
        </w:tabs>
        <w:ind w:left="1860" w:hanging="360"/>
      </w:pPr>
      <w:rPr>
        <w:rFonts w:hint="default"/>
      </w:rPr>
    </w:lvl>
  </w:abstractNum>
  <w:abstractNum w:abstractNumId="19">
    <w:nsid w:val="4F7B7515"/>
    <w:multiLevelType w:val="singleLevel"/>
    <w:tmpl w:val="040C000F"/>
    <w:lvl w:ilvl="0">
      <w:start w:val="1"/>
      <w:numFmt w:val="decimal"/>
      <w:lvlText w:val="%1."/>
      <w:lvlJc w:val="left"/>
      <w:pPr>
        <w:tabs>
          <w:tab w:val="num" w:pos="360"/>
        </w:tabs>
        <w:ind w:left="360" w:hanging="360"/>
      </w:pPr>
    </w:lvl>
  </w:abstractNum>
  <w:abstractNum w:abstractNumId="20">
    <w:nsid w:val="52902213"/>
    <w:multiLevelType w:val="singleLevel"/>
    <w:tmpl w:val="F4D4F284"/>
    <w:lvl w:ilvl="0">
      <w:start w:val="1"/>
      <w:numFmt w:val="bullet"/>
      <w:lvlText w:val="-"/>
      <w:lvlJc w:val="left"/>
      <w:pPr>
        <w:tabs>
          <w:tab w:val="num" w:pos="360"/>
        </w:tabs>
        <w:ind w:left="357" w:hanging="357"/>
      </w:pPr>
      <w:rPr>
        <w:rFonts w:ascii="Symbol" w:hAnsi="Symbol" w:hint="default"/>
        <w:sz w:val="16"/>
      </w:rPr>
    </w:lvl>
  </w:abstractNum>
  <w:abstractNum w:abstractNumId="21">
    <w:nsid w:val="554503AA"/>
    <w:multiLevelType w:val="singleLevel"/>
    <w:tmpl w:val="F4D4F284"/>
    <w:lvl w:ilvl="0">
      <w:start w:val="1"/>
      <w:numFmt w:val="bullet"/>
      <w:lvlText w:val="-"/>
      <w:lvlJc w:val="left"/>
      <w:pPr>
        <w:tabs>
          <w:tab w:val="num" w:pos="360"/>
        </w:tabs>
        <w:ind w:left="357" w:hanging="357"/>
      </w:pPr>
      <w:rPr>
        <w:rFonts w:ascii="Symbol" w:hAnsi="Symbol" w:hint="default"/>
        <w:sz w:val="16"/>
      </w:rPr>
    </w:lvl>
  </w:abstractNum>
  <w:abstractNum w:abstractNumId="22">
    <w:nsid w:val="58E9202F"/>
    <w:multiLevelType w:val="hybridMultilevel"/>
    <w:tmpl w:val="2B303C36"/>
    <w:lvl w:ilvl="0" w:tplc="87A42906">
      <w:start w:val="9"/>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E117D49"/>
    <w:multiLevelType w:val="hybridMultilevel"/>
    <w:tmpl w:val="7DE0A15E"/>
    <w:lvl w:ilvl="0" w:tplc="04D6C63A">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nsid w:val="5F43598C"/>
    <w:multiLevelType w:val="hybridMultilevel"/>
    <w:tmpl w:val="F1E0A3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FE22369"/>
    <w:multiLevelType w:val="hybridMultilevel"/>
    <w:tmpl w:val="11C28DB6"/>
    <w:lvl w:ilvl="0" w:tplc="84C4CF7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67D13D9"/>
    <w:multiLevelType w:val="hybridMultilevel"/>
    <w:tmpl w:val="A5183C10"/>
    <w:lvl w:ilvl="0" w:tplc="D8BE8DE2">
      <w:numFmt w:val="bullet"/>
      <w:lvlText w:val="-"/>
      <w:lvlJc w:val="left"/>
      <w:pPr>
        <w:ind w:left="720" w:hanging="360"/>
      </w:pPr>
      <w:rPr>
        <w:rFonts w:ascii="Arial" w:eastAsia="Times New Roman" w:hAnsi="Arial" w:cs="Arial"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7410859"/>
    <w:multiLevelType w:val="hybridMultilevel"/>
    <w:tmpl w:val="DB8E6E1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73A678B6"/>
    <w:multiLevelType w:val="hybridMultilevel"/>
    <w:tmpl w:val="EEA866AE"/>
    <w:lvl w:ilvl="0" w:tplc="915E5726">
      <w:start w:val="1"/>
      <w:numFmt w:val="decimal"/>
      <w:lvlText w:val="%1."/>
      <w:lvlJc w:val="left"/>
      <w:pPr>
        <w:ind w:left="360" w:hanging="360"/>
      </w:pPr>
      <w:rPr>
        <w:rFonts w:ascii="Arial" w:hAnsi="Arial" w:cs="Aria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60A3BF7"/>
    <w:multiLevelType w:val="hybridMultilevel"/>
    <w:tmpl w:val="AD344C92"/>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7CCC6D82"/>
    <w:multiLevelType w:val="singleLevel"/>
    <w:tmpl w:val="E5D6CFAE"/>
    <w:lvl w:ilvl="0">
      <w:start w:val="1"/>
      <w:numFmt w:val="decimal"/>
      <w:lvlText w:val="%1."/>
      <w:legacy w:legacy="1" w:legacySpace="0" w:legacyIndent="283"/>
      <w:lvlJc w:val="left"/>
      <w:pPr>
        <w:ind w:left="283" w:hanging="283"/>
      </w:pPr>
    </w:lvl>
  </w:abstractNum>
  <w:num w:numId="1">
    <w:abstractNumId w:val="3"/>
  </w:num>
  <w:num w:numId="2">
    <w:abstractNumId w:val="29"/>
  </w:num>
  <w:num w:numId="3">
    <w:abstractNumId w:val="7"/>
  </w:num>
  <w:num w:numId="4">
    <w:abstractNumId w:val="12"/>
  </w:num>
  <w:num w:numId="5">
    <w:abstractNumId w:val="18"/>
  </w:num>
  <w:num w:numId="6">
    <w:abstractNumId w:val="23"/>
  </w:num>
  <w:num w:numId="7">
    <w:abstractNumId w:val="6"/>
  </w:num>
  <w:num w:numId="8">
    <w:abstractNumId w:val="16"/>
  </w:num>
  <w:num w:numId="9">
    <w:abstractNumId w:val="30"/>
  </w:num>
  <w:num w:numId="10">
    <w:abstractNumId w:val="30"/>
    <w:lvlOverride w:ilvl="0">
      <w:lvl w:ilvl="0">
        <w:start w:val="1"/>
        <w:numFmt w:val="decimal"/>
        <w:lvlText w:val="%1."/>
        <w:legacy w:legacy="1" w:legacySpace="0" w:legacyIndent="283"/>
        <w:lvlJc w:val="left"/>
        <w:pPr>
          <w:ind w:left="283" w:hanging="283"/>
        </w:pPr>
      </w:lvl>
    </w:lvlOverride>
  </w:num>
  <w:num w:numId="11">
    <w:abstractNumId w:val="17"/>
  </w:num>
  <w:num w:numId="12">
    <w:abstractNumId w:val="5"/>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0"/>
    <w:lvlOverride w:ilvl="0">
      <w:lvl w:ilvl="0">
        <w:start w:val="1"/>
        <w:numFmt w:val="bullet"/>
        <w:lvlText w:val=""/>
        <w:legacy w:legacy="1" w:legacySpace="0" w:legacyIndent="284"/>
        <w:lvlJc w:val="left"/>
        <w:pPr>
          <w:ind w:left="304" w:hanging="284"/>
        </w:pPr>
        <w:rPr>
          <w:rFonts w:ascii="Symbol" w:hAnsi="Symbol" w:hint="default"/>
        </w:rPr>
      </w:lvl>
    </w:lvlOverride>
  </w:num>
  <w:num w:numId="15">
    <w:abstractNumId w:val="20"/>
  </w:num>
  <w:num w:numId="16">
    <w:abstractNumId w:val="19"/>
  </w:num>
  <w:num w:numId="17">
    <w:abstractNumId w:val="25"/>
  </w:num>
  <w:num w:numId="18">
    <w:abstractNumId w:val="2"/>
  </w:num>
  <w:num w:numId="19">
    <w:abstractNumId w:val="1"/>
  </w:num>
  <w:num w:numId="20">
    <w:abstractNumId w:val="21"/>
  </w:num>
  <w:num w:numId="21">
    <w:abstractNumId w:val="9"/>
  </w:num>
  <w:num w:numId="22">
    <w:abstractNumId w:val="4"/>
  </w:num>
  <w:num w:numId="23">
    <w:abstractNumId w:val="27"/>
  </w:num>
  <w:num w:numId="24">
    <w:abstractNumId w:val="11"/>
  </w:num>
  <w:num w:numId="25">
    <w:abstractNumId w:val="28"/>
  </w:num>
  <w:num w:numId="26">
    <w:abstractNumId w:val="15"/>
  </w:num>
  <w:num w:numId="27">
    <w:abstractNumId w:val="24"/>
  </w:num>
  <w:num w:numId="28">
    <w:abstractNumId w:val="10"/>
  </w:num>
  <w:num w:numId="29">
    <w:abstractNumId w:val="13"/>
  </w:num>
  <w:num w:numId="30">
    <w:abstractNumId w:val="8"/>
  </w:num>
  <w:num w:numId="31">
    <w:abstractNumId w:val="16"/>
  </w:num>
  <w:num w:numId="32">
    <w:abstractNumId w:val="22"/>
  </w:num>
  <w:num w:numId="33">
    <w:abstractNumId w:val="14"/>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E4F1B"/>
    <w:rsid w:val="00010294"/>
    <w:rsid w:val="000249DB"/>
    <w:rsid w:val="000412BA"/>
    <w:rsid w:val="00050CC1"/>
    <w:rsid w:val="00057388"/>
    <w:rsid w:val="00057A95"/>
    <w:rsid w:val="00110B8C"/>
    <w:rsid w:val="00173CA2"/>
    <w:rsid w:val="0018723E"/>
    <w:rsid w:val="001B0CD1"/>
    <w:rsid w:val="002603C9"/>
    <w:rsid w:val="00270382"/>
    <w:rsid w:val="00277284"/>
    <w:rsid w:val="00282CFE"/>
    <w:rsid w:val="002A28DE"/>
    <w:rsid w:val="002C75B2"/>
    <w:rsid w:val="003220E3"/>
    <w:rsid w:val="003606F5"/>
    <w:rsid w:val="00382ACF"/>
    <w:rsid w:val="003B35A4"/>
    <w:rsid w:val="003C7EE5"/>
    <w:rsid w:val="004D072B"/>
    <w:rsid w:val="004E0095"/>
    <w:rsid w:val="004F249B"/>
    <w:rsid w:val="00673E85"/>
    <w:rsid w:val="006B3928"/>
    <w:rsid w:val="006D5FD7"/>
    <w:rsid w:val="0072225A"/>
    <w:rsid w:val="00737475"/>
    <w:rsid w:val="00792C0D"/>
    <w:rsid w:val="007D12FF"/>
    <w:rsid w:val="007F0C4F"/>
    <w:rsid w:val="0082286B"/>
    <w:rsid w:val="00841613"/>
    <w:rsid w:val="008502C6"/>
    <w:rsid w:val="00867D7D"/>
    <w:rsid w:val="008B6351"/>
    <w:rsid w:val="009308B2"/>
    <w:rsid w:val="009A38F1"/>
    <w:rsid w:val="009C063D"/>
    <w:rsid w:val="009E190A"/>
    <w:rsid w:val="009E4F1B"/>
    <w:rsid w:val="00A06853"/>
    <w:rsid w:val="00A345EF"/>
    <w:rsid w:val="00A640A4"/>
    <w:rsid w:val="00A80F72"/>
    <w:rsid w:val="00A91145"/>
    <w:rsid w:val="00B53F38"/>
    <w:rsid w:val="00B8334A"/>
    <w:rsid w:val="00BB3B3A"/>
    <w:rsid w:val="00BC3844"/>
    <w:rsid w:val="00BE005A"/>
    <w:rsid w:val="00C02C2E"/>
    <w:rsid w:val="00C16DFE"/>
    <w:rsid w:val="00C3765C"/>
    <w:rsid w:val="00C53364"/>
    <w:rsid w:val="00D8189B"/>
    <w:rsid w:val="00DA1BE1"/>
    <w:rsid w:val="00DB232D"/>
    <w:rsid w:val="00DD5917"/>
    <w:rsid w:val="00DD61F0"/>
    <w:rsid w:val="00E04197"/>
    <w:rsid w:val="00F3409E"/>
    <w:rsid w:val="00F34700"/>
    <w:rsid w:val="00F938BD"/>
    <w:rsid w:val="00FE507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1B"/>
    <w:pPr>
      <w:spacing w:before="240" w:after="0" w:line="240" w:lineRule="auto"/>
      <w:jc w:val="both"/>
    </w:pPr>
    <w:rPr>
      <w:rFonts w:ascii="Arial" w:eastAsia="Times New Roman" w:hAnsi="Arial" w:cs="Times New Roman"/>
      <w:szCs w:val="20"/>
      <w:lang w:val="fr-FR" w:eastAsia="fr-BE"/>
    </w:rPr>
  </w:style>
  <w:style w:type="paragraph" w:styleId="Titre1">
    <w:name w:val="heading 1"/>
    <w:basedOn w:val="Normal"/>
    <w:next w:val="Normal"/>
    <w:link w:val="Titre1Car"/>
    <w:uiPriority w:val="9"/>
    <w:qFormat/>
    <w:rsid w:val="00F938BD"/>
    <w:pPr>
      <w:keepNext/>
      <w:keepLines/>
      <w:pBdr>
        <w:top w:val="dotted" w:sz="12" w:space="1" w:color="auto"/>
        <w:left w:val="dotted" w:sz="12" w:space="4" w:color="auto"/>
        <w:bottom w:val="dotted" w:sz="12" w:space="1" w:color="auto"/>
        <w:right w:val="dotted" w:sz="12" w:space="4" w:color="auto"/>
      </w:pBdr>
      <w:spacing w:before="480"/>
      <w:jc w:val="center"/>
      <w:outlineLvl w:val="0"/>
    </w:pPr>
    <w:rPr>
      <w:rFonts w:eastAsiaTheme="majorEastAsia" w:cstheme="majorBidi"/>
      <w:b/>
      <w:bCs/>
      <w:sz w:val="32"/>
      <w:szCs w:val="28"/>
      <w:u w:val="single"/>
    </w:rPr>
  </w:style>
  <w:style w:type="paragraph" w:styleId="Titre2">
    <w:name w:val="heading 2"/>
    <w:basedOn w:val="Normal"/>
    <w:next w:val="Normal"/>
    <w:link w:val="Titre2Car"/>
    <w:uiPriority w:val="9"/>
    <w:unhideWhenUsed/>
    <w:qFormat/>
    <w:rsid w:val="00F938BD"/>
    <w:pPr>
      <w:keepNext/>
      <w:keepLines/>
      <w:spacing w:after="240"/>
      <w:outlineLvl w:val="1"/>
    </w:pPr>
    <w:rPr>
      <w:rFonts w:eastAsiaTheme="majorEastAsia" w:cstheme="majorBidi"/>
      <w:b/>
      <w:bCs/>
      <w:sz w:val="30"/>
      <w:szCs w:val="26"/>
      <w:u w:val="single"/>
    </w:rPr>
  </w:style>
  <w:style w:type="paragraph" w:styleId="Titre3">
    <w:name w:val="heading 3"/>
    <w:basedOn w:val="Normal"/>
    <w:next w:val="Normal"/>
    <w:link w:val="Titre3Car"/>
    <w:uiPriority w:val="9"/>
    <w:unhideWhenUsed/>
    <w:qFormat/>
    <w:rsid w:val="00F938BD"/>
    <w:pPr>
      <w:keepNext/>
      <w:keepLines/>
      <w:spacing w:before="200"/>
      <w:outlineLvl w:val="2"/>
    </w:pPr>
    <w:rPr>
      <w:rFonts w:eastAsiaTheme="majorEastAsia" w:cstheme="majorBidi"/>
      <w:b/>
      <w:bCs/>
      <w:sz w:val="28"/>
    </w:rPr>
  </w:style>
  <w:style w:type="paragraph" w:styleId="Titre4">
    <w:name w:val="heading 4"/>
    <w:basedOn w:val="Normal"/>
    <w:next w:val="Normal"/>
    <w:link w:val="Titre4Car"/>
    <w:uiPriority w:val="9"/>
    <w:unhideWhenUsed/>
    <w:qFormat/>
    <w:rsid w:val="00F938BD"/>
    <w:pPr>
      <w:keepNext/>
      <w:keepLines/>
      <w:spacing w:before="200"/>
      <w:outlineLvl w:val="3"/>
    </w:pPr>
    <w:rPr>
      <w:rFonts w:eastAsiaTheme="majorEastAsia" w:cstheme="majorBidi"/>
      <w:b/>
      <w:bCs/>
      <w:i/>
      <w:iCs/>
      <w:sz w:val="26"/>
    </w:rPr>
  </w:style>
  <w:style w:type="paragraph" w:styleId="Titre5">
    <w:name w:val="heading 5"/>
    <w:basedOn w:val="Normal"/>
    <w:next w:val="Normal"/>
    <w:link w:val="Titre5Car"/>
    <w:uiPriority w:val="9"/>
    <w:unhideWhenUsed/>
    <w:qFormat/>
    <w:rsid w:val="00F938BD"/>
    <w:pPr>
      <w:keepNext/>
      <w:keepLines/>
      <w:spacing w:before="200"/>
      <w:outlineLvl w:val="4"/>
    </w:pPr>
    <w:rPr>
      <w:rFonts w:eastAsiaTheme="majorEastAsia" w:cstheme="majorBidi"/>
    </w:rPr>
  </w:style>
  <w:style w:type="paragraph" w:styleId="Titre8">
    <w:name w:val="heading 8"/>
    <w:basedOn w:val="Normal"/>
    <w:next w:val="Normal"/>
    <w:link w:val="Titre8Car"/>
    <w:uiPriority w:val="9"/>
    <w:semiHidden/>
    <w:unhideWhenUsed/>
    <w:qFormat/>
    <w:rsid w:val="009E4F1B"/>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nhideWhenUsed/>
    <w:qFormat/>
    <w:rsid w:val="0082286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itre">
    <w:name w:val="Chapitre"/>
    <w:basedOn w:val="Titre8"/>
    <w:link w:val="ChapitreCar"/>
    <w:qFormat/>
    <w:rsid w:val="009E4F1B"/>
    <w:pPr>
      <w:keepLines w:val="0"/>
      <w:pBdr>
        <w:top w:val="double" w:sz="4" w:space="6" w:color="auto"/>
        <w:left w:val="double" w:sz="4" w:space="6" w:color="auto"/>
        <w:bottom w:val="double" w:sz="4" w:space="6" w:color="auto"/>
        <w:right w:val="double" w:sz="4" w:space="6" w:color="auto"/>
      </w:pBdr>
      <w:spacing w:before="240"/>
      <w:jc w:val="center"/>
    </w:pPr>
    <w:rPr>
      <w:rFonts w:ascii="Arial" w:eastAsia="Times New Roman" w:hAnsi="Arial" w:cs="Arial"/>
      <w:b/>
      <w:caps/>
      <w:color w:val="auto"/>
      <w:sz w:val="28"/>
    </w:rPr>
  </w:style>
  <w:style w:type="character" w:customStyle="1" w:styleId="ChapitreCar">
    <w:name w:val="Chapitre Car"/>
    <w:basedOn w:val="Titre8Car"/>
    <w:link w:val="Chapitre"/>
    <w:rsid w:val="009E4F1B"/>
    <w:rPr>
      <w:rFonts w:ascii="Arial" w:eastAsia="Times New Roman" w:hAnsi="Arial" w:cs="Arial"/>
      <w:b/>
      <w:caps/>
      <w:sz w:val="28"/>
    </w:rPr>
  </w:style>
  <w:style w:type="character" w:customStyle="1" w:styleId="Titre8Car">
    <w:name w:val="Titre 8 Car"/>
    <w:basedOn w:val="Policepardfaut"/>
    <w:link w:val="Titre8"/>
    <w:uiPriority w:val="9"/>
    <w:semiHidden/>
    <w:rsid w:val="009E4F1B"/>
    <w:rPr>
      <w:rFonts w:asciiTheme="majorHAnsi" w:eastAsiaTheme="majorEastAsia" w:hAnsiTheme="majorHAnsi" w:cstheme="majorBidi"/>
      <w:color w:val="404040" w:themeColor="text1" w:themeTint="BF"/>
      <w:sz w:val="20"/>
      <w:szCs w:val="20"/>
      <w:lang w:val="fr-FR" w:eastAsia="fr-BE"/>
    </w:rPr>
  </w:style>
  <w:style w:type="character" w:customStyle="1" w:styleId="Titre1Car">
    <w:name w:val="Titre 1 Car"/>
    <w:basedOn w:val="Policepardfaut"/>
    <w:link w:val="Titre1"/>
    <w:uiPriority w:val="9"/>
    <w:rsid w:val="00F938BD"/>
    <w:rPr>
      <w:rFonts w:ascii="Arial" w:eastAsiaTheme="majorEastAsia" w:hAnsi="Arial" w:cstheme="majorBidi"/>
      <w:b/>
      <w:bCs/>
      <w:sz w:val="32"/>
      <w:szCs w:val="28"/>
      <w:u w:val="single"/>
      <w:lang w:val="fr-FR" w:eastAsia="fr-BE"/>
    </w:rPr>
  </w:style>
  <w:style w:type="paragraph" w:customStyle="1" w:styleId="Encadr">
    <w:name w:val="Encadré"/>
    <w:basedOn w:val="Normal"/>
    <w:link w:val="EncadrCar"/>
    <w:qFormat/>
    <w:rsid w:val="009E4F1B"/>
    <w:pPr>
      <w:pBdr>
        <w:top w:val="single" w:sz="12" w:space="3" w:color="auto"/>
        <w:left w:val="single" w:sz="12" w:space="4" w:color="auto"/>
        <w:bottom w:val="single" w:sz="12" w:space="3" w:color="auto"/>
        <w:right w:val="single" w:sz="12" w:space="4" w:color="auto"/>
      </w:pBdr>
    </w:pPr>
    <w:rPr>
      <w:rFonts w:cs="Arial"/>
    </w:rPr>
  </w:style>
  <w:style w:type="paragraph" w:customStyle="1" w:styleId="Commentaires">
    <w:name w:val="Commentaires"/>
    <w:basedOn w:val="Normal"/>
    <w:link w:val="CommentairesCar"/>
    <w:qFormat/>
    <w:rsid w:val="009E4F1B"/>
    <w:rPr>
      <w:rFonts w:cs="Arial"/>
      <w:i/>
    </w:rPr>
  </w:style>
  <w:style w:type="character" w:customStyle="1" w:styleId="EncadrCar">
    <w:name w:val="Encadré Car"/>
    <w:basedOn w:val="Policepardfaut"/>
    <w:link w:val="Encadr"/>
    <w:rsid w:val="009E4F1B"/>
    <w:rPr>
      <w:rFonts w:ascii="Arial" w:eastAsia="Times New Roman" w:hAnsi="Arial" w:cs="Arial"/>
      <w:szCs w:val="20"/>
      <w:lang w:val="fr-FR" w:eastAsia="fr-BE"/>
    </w:rPr>
  </w:style>
  <w:style w:type="character" w:customStyle="1" w:styleId="CommentairesCar">
    <w:name w:val="Commentaires Car"/>
    <w:basedOn w:val="Policepardfaut"/>
    <w:link w:val="Commentaires"/>
    <w:rsid w:val="009E4F1B"/>
    <w:rPr>
      <w:rFonts w:ascii="Arial" w:eastAsia="Times New Roman" w:hAnsi="Arial" w:cs="Arial"/>
      <w:i/>
      <w:szCs w:val="20"/>
      <w:lang w:val="fr-FR" w:eastAsia="fr-BE"/>
    </w:rPr>
  </w:style>
  <w:style w:type="paragraph" w:styleId="Corpsdetexte">
    <w:name w:val="Body Text"/>
    <w:basedOn w:val="Normal"/>
    <w:link w:val="CorpsdetexteCar"/>
    <w:rsid w:val="009E4F1B"/>
    <w:pPr>
      <w:spacing w:before="0" w:line="312" w:lineRule="exact"/>
    </w:pPr>
    <w:rPr>
      <w:rFonts w:ascii="Times New Roman" w:hAnsi="Times New Roman"/>
      <w:i/>
      <w:sz w:val="24"/>
    </w:rPr>
  </w:style>
  <w:style w:type="character" w:customStyle="1" w:styleId="CorpsdetexteCar">
    <w:name w:val="Corps de texte Car"/>
    <w:basedOn w:val="Policepardfaut"/>
    <w:link w:val="Corpsdetexte"/>
    <w:rsid w:val="009E4F1B"/>
    <w:rPr>
      <w:rFonts w:ascii="Times New Roman" w:eastAsia="Times New Roman" w:hAnsi="Times New Roman" w:cs="Times New Roman"/>
      <w:i/>
      <w:sz w:val="24"/>
      <w:szCs w:val="20"/>
      <w:lang w:val="fr-FR" w:eastAsia="fr-BE"/>
    </w:rPr>
  </w:style>
  <w:style w:type="paragraph" w:styleId="Retraitcorpsdetexte2">
    <w:name w:val="Body Text Indent 2"/>
    <w:basedOn w:val="Normal"/>
    <w:link w:val="Retraitcorpsdetexte2Car"/>
    <w:rsid w:val="009E4F1B"/>
    <w:pPr>
      <w:spacing w:before="0" w:line="312" w:lineRule="exact"/>
      <w:ind w:left="284"/>
    </w:pPr>
    <w:rPr>
      <w:rFonts w:ascii="Times New Roman" w:hAnsi="Times New Roman"/>
      <w:i/>
      <w:sz w:val="24"/>
    </w:rPr>
  </w:style>
  <w:style w:type="character" w:customStyle="1" w:styleId="Retraitcorpsdetexte2Car">
    <w:name w:val="Retrait corps de texte 2 Car"/>
    <w:basedOn w:val="Policepardfaut"/>
    <w:link w:val="Retraitcorpsdetexte2"/>
    <w:rsid w:val="009E4F1B"/>
    <w:rPr>
      <w:rFonts w:ascii="Times New Roman" w:eastAsia="Times New Roman" w:hAnsi="Times New Roman" w:cs="Times New Roman"/>
      <w:i/>
      <w:sz w:val="24"/>
      <w:szCs w:val="20"/>
      <w:lang w:val="fr-FR" w:eastAsia="fr-BE"/>
    </w:rPr>
  </w:style>
  <w:style w:type="paragraph" w:customStyle="1" w:styleId="Default">
    <w:name w:val="Default"/>
    <w:rsid w:val="009E4F1B"/>
    <w:pPr>
      <w:autoSpaceDE w:val="0"/>
      <w:autoSpaceDN w:val="0"/>
      <w:adjustRightInd w:val="0"/>
      <w:spacing w:after="0" w:line="240" w:lineRule="auto"/>
    </w:pPr>
    <w:rPr>
      <w:rFonts w:ascii="Courier New" w:eastAsia="Times New Roman" w:hAnsi="Courier New" w:cs="Courier New"/>
      <w:color w:val="000000"/>
      <w:sz w:val="24"/>
      <w:szCs w:val="24"/>
      <w:lang w:val="de-DE" w:eastAsia="de-DE"/>
    </w:rPr>
  </w:style>
  <w:style w:type="character" w:styleId="Lienhypertexte">
    <w:name w:val="Hyperlink"/>
    <w:basedOn w:val="Policepardfaut"/>
    <w:uiPriority w:val="99"/>
    <w:unhideWhenUsed/>
    <w:rsid w:val="009E4F1B"/>
    <w:rPr>
      <w:color w:val="0000FF"/>
      <w:u w:val="single"/>
    </w:rPr>
  </w:style>
  <w:style w:type="paragraph" w:styleId="Corpsdetexte3">
    <w:name w:val="Body Text 3"/>
    <w:basedOn w:val="Normal"/>
    <w:link w:val="Corpsdetexte3Car"/>
    <w:uiPriority w:val="99"/>
    <w:unhideWhenUsed/>
    <w:rsid w:val="00C3765C"/>
    <w:pPr>
      <w:spacing w:after="120"/>
    </w:pPr>
    <w:rPr>
      <w:sz w:val="16"/>
      <w:szCs w:val="16"/>
    </w:rPr>
  </w:style>
  <w:style w:type="character" w:customStyle="1" w:styleId="Corpsdetexte3Car">
    <w:name w:val="Corps de texte 3 Car"/>
    <w:basedOn w:val="Policepardfaut"/>
    <w:link w:val="Corpsdetexte3"/>
    <w:uiPriority w:val="99"/>
    <w:rsid w:val="00C3765C"/>
    <w:rPr>
      <w:rFonts w:ascii="Arial" w:eastAsia="Times New Roman" w:hAnsi="Arial" w:cs="Times New Roman"/>
      <w:sz w:val="16"/>
      <w:szCs w:val="16"/>
      <w:lang w:val="fr-FR" w:eastAsia="fr-BE"/>
    </w:rPr>
  </w:style>
  <w:style w:type="paragraph" w:styleId="Commentaire">
    <w:name w:val="annotation text"/>
    <w:basedOn w:val="Normal"/>
    <w:link w:val="CommentaireCar"/>
    <w:uiPriority w:val="99"/>
    <w:unhideWhenUsed/>
    <w:rsid w:val="00C3765C"/>
    <w:pPr>
      <w:spacing w:before="0" w:line="312" w:lineRule="exact"/>
      <w:jc w:val="left"/>
    </w:pPr>
    <w:rPr>
      <w:rFonts w:ascii="Times New Roman" w:hAnsi="Times New Roman"/>
      <w:color w:val="00FFFF"/>
      <w:sz w:val="20"/>
    </w:rPr>
  </w:style>
  <w:style w:type="character" w:customStyle="1" w:styleId="CommentaireCar">
    <w:name w:val="Commentaire Car"/>
    <w:basedOn w:val="Policepardfaut"/>
    <w:link w:val="Commentaire"/>
    <w:uiPriority w:val="99"/>
    <w:rsid w:val="00C3765C"/>
    <w:rPr>
      <w:rFonts w:ascii="Times New Roman" w:eastAsia="Times New Roman" w:hAnsi="Times New Roman" w:cs="Times New Roman"/>
      <w:color w:val="00FFFF"/>
      <w:sz w:val="20"/>
      <w:szCs w:val="20"/>
      <w:lang w:val="fr-FR" w:eastAsia="fr-BE"/>
    </w:rPr>
  </w:style>
  <w:style w:type="paragraph" w:styleId="Paragraphedeliste">
    <w:name w:val="List Paragraph"/>
    <w:basedOn w:val="Normal"/>
    <w:link w:val="ParagraphedelisteCar"/>
    <w:uiPriority w:val="34"/>
    <w:qFormat/>
    <w:rsid w:val="00C3765C"/>
    <w:pPr>
      <w:spacing w:before="120" w:after="120"/>
      <w:ind w:left="720"/>
      <w:contextualSpacing/>
    </w:pPr>
    <w:rPr>
      <w:rFonts w:ascii="Times New Roman" w:hAnsi="Times New Roman"/>
      <w:sz w:val="24"/>
      <w:szCs w:val="24"/>
      <w:lang w:val="fr-BE"/>
    </w:rPr>
  </w:style>
  <w:style w:type="paragraph" w:styleId="Sansinterligne">
    <w:name w:val="No Spacing"/>
    <w:uiPriority w:val="1"/>
    <w:qFormat/>
    <w:rsid w:val="00C3765C"/>
    <w:pPr>
      <w:spacing w:after="0" w:line="240" w:lineRule="auto"/>
    </w:pPr>
    <w:rPr>
      <w:rFonts w:ascii="Calibri" w:eastAsia="Calibri" w:hAnsi="Calibri" w:cs="Times New Roman"/>
    </w:rPr>
  </w:style>
  <w:style w:type="paragraph" w:customStyle="1" w:styleId="Puces1">
    <w:name w:val="Puces 1"/>
    <w:basedOn w:val="Normal"/>
    <w:rsid w:val="00DD5917"/>
    <w:pPr>
      <w:numPr>
        <w:numId w:val="4"/>
      </w:numPr>
    </w:pPr>
    <w:rPr>
      <w:szCs w:val="24"/>
    </w:rPr>
  </w:style>
  <w:style w:type="paragraph" w:customStyle="1" w:styleId="Puces2">
    <w:name w:val="Puces 2"/>
    <w:basedOn w:val="Puces1"/>
    <w:rsid w:val="00DD5917"/>
    <w:pPr>
      <w:numPr>
        <w:numId w:val="8"/>
      </w:numPr>
      <w:pBdr>
        <w:top w:val="single" w:sz="12" w:space="1" w:color="auto"/>
        <w:left w:val="single" w:sz="12" w:space="4" w:color="auto"/>
        <w:bottom w:val="single" w:sz="12" w:space="1" w:color="auto"/>
        <w:right w:val="single" w:sz="12" w:space="4" w:color="auto"/>
      </w:pBdr>
      <w:tabs>
        <w:tab w:val="left" w:pos="284"/>
      </w:tabs>
      <w:spacing w:before="0" w:line="300" w:lineRule="atLeast"/>
    </w:pPr>
    <w:rPr>
      <w:rFonts w:ascii="Times New Roman" w:hAnsi="Times New Roman"/>
      <w:sz w:val="24"/>
      <w:szCs w:val="20"/>
    </w:rPr>
  </w:style>
  <w:style w:type="paragraph" w:customStyle="1" w:styleId="Article">
    <w:name w:val="Article"/>
    <w:basedOn w:val="Titre1"/>
    <w:link w:val="ArticleCar"/>
    <w:qFormat/>
    <w:rsid w:val="00382ACF"/>
    <w:pPr>
      <w:keepLines w:val="0"/>
    </w:pPr>
    <w:rPr>
      <w:rFonts w:ascii="Arial Gras" w:hAnsi="Arial Gras" w:cs="Arial"/>
      <w:sz w:val="22"/>
    </w:rPr>
  </w:style>
  <w:style w:type="character" w:customStyle="1" w:styleId="ArticleCar">
    <w:name w:val="Article Car"/>
    <w:basedOn w:val="Titre1Car"/>
    <w:link w:val="Article"/>
    <w:rsid w:val="00382ACF"/>
    <w:rPr>
      <w:rFonts w:ascii="Arial Gras" w:hAnsi="Arial Gras" w:cs="Arial"/>
      <w:b/>
      <w:bCs/>
    </w:rPr>
  </w:style>
  <w:style w:type="paragraph" w:styleId="Corpsdetexte2">
    <w:name w:val="Body Text 2"/>
    <w:basedOn w:val="Normal"/>
    <w:link w:val="Corpsdetexte2Car"/>
    <w:uiPriority w:val="99"/>
    <w:semiHidden/>
    <w:unhideWhenUsed/>
    <w:rsid w:val="00382ACF"/>
    <w:pPr>
      <w:spacing w:after="120" w:line="480" w:lineRule="auto"/>
    </w:pPr>
  </w:style>
  <w:style w:type="character" w:customStyle="1" w:styleId="Corpsdetexte2Car">
    <w:name w:val="Corps de texte 2 Car"/>
    <w:basedOn w:val="Policepardfaut"/>
    <w:link w:val="Corpsdetexte2"/>
    <w:uiPriority w:val="99"/>
    <w:semiHidden/>
    <w:rsid w:val="00382ACF"/>
    <w:rPr>
      <w:rFonts w:ascii="Arial" w:eastAsia="Times New Roman" w:hAnsi="Arial" w:cs="Times New Roman"/>
      <w:szCs w:val="20"/>
      <w:lang w:val="fr-FR" w:eastAsia="fr-BE"/>
    </w:rPr>
  </w:style>
  <w:style w:type="paragraph" w:styleId="Retraitcorpsdetexte3">
    <w:name w:val="Body Text Indent 3"/>
    <w:basedOn w:val="Normal"/>
    <w:link w:val="Retraitcorpsdetexte3Car"/>
    <w:uiPriority w:val="99"/>
    <w:semiHidden/>
    <w:unhideWhenUsed/>
    <w:rsid w:val="00382AC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82ACF"/>
    <w:rPr>
      <w:rFonts w:ascii="Arial" w:eastAsia="Times New Roman" w:hAnsi="Arial" w:cs="Times New Roman"/>
      <w:sz w:val="16"/>
      <w:szCs w:val="16"/>
      <w:lang w:val="fr-FR" w:eastAsia="fr-BE"/>
    </w:rPr>
  </w:style>
  <w:style w:type="character" w:customStyle="1" w:styleId="Titre4Car">
    <w:name w:val="Titre 4 Car"/>
    <w:basedOn w:val="Policepardfaut"/>
    <w:link w:val="Titre4"/>
    <w:uiPriority w:val="9"/>
    <w:rsid w:val="00F938BD"/>
    <w:rPr>
      <w:rFonts w:ascii="Arial" w:eastAsiaTheme="majorEastAsia" w:hAnsi="Arial" w:cstheme="majorBidi"/>
      <w:b/>
      <w:bCs/>
      <w:i/>
      <w:iCs/>
      <w:sz w:val="26"/>
      <w:szCs w:val="20"/>
      <w:lang w:val="fr-FR" w:eastAsia="fr-BE"/>
    </w:rPr>
  </w:style>
  <w:style w:type="character" w:customStyle="1" w:styleId="Titre9Car">
    <w:name w:val="Titre 9 Car"/>
    <w:basedOn w:val="Policepardfaut"/>
    <w:link w:val="Titre9"/>
    <w:uiPriority w:val="9"/>
    <w:semiHidden/>
    <w:rsid w:val="0082286B"/>
    <w:rPr>
      <w:rFonts w:asciiTheme="majorHAnsi" w:eastAsiaTheme="majorEastAsia" w:hAnsiTheme="majorHAnsi" w:cstheme="majorBidi"/>
      <w:i/>
      <w:iCs/>
      <w:color w:val="404040" w:themeColor="text1" w:themeTint="BF"/>
      <w:sz w:val="20"/>
      <w:szCs w:val="20"/>
      <w:lang w:val="fr-FR" w:eastAsia="fr-BE"/>
    </w:rPr>
  </w:style>
  <w:style w:type="paragraph" w:styleId="Notedebasdepage">
    <w:name w:val="footnote text"/>
    <w:basedOn w:val="Normal"/>
    <w:link w:val="NotedebasdepageCar"/>
    <w:uiPriority w:val="99"/>
    <w:qFormat/>
    <w:rsid w:val="0082286B"/>
    <w:pPr>
      <w:spacing w:before="0" w:line="312" w:lineRule="exact"/>
      <w:jc w:val="left"/>
    </w:pPr>
    <w:rPr>
      <w:rFonts w:ascii="Times New Roman" w:hAnsi="Times New Roman"/>
      <w:color w:val="00FFFF"/>
      <w:sz w:val="20"/>
    </w:rPr>
  </w:style>
  <w:style w:type="character" w:customStyle="1" w:styleId="NotedebasdepageCar">
    <w:name w:val="Note de bas de page Car"/>
    <w:basedOn w:val="Policepardfaut"/>
    <w:link w:val="Notedebasdepage"/>
    <w:uiPriority w:val="99"/>
    <w:rsid w:val="0082286B"/>
    <w:rPr>
      <w:rFonts w:ascii="Times New Roman" w:eastAsia="Times New Roman" w:hAnsi="Times New Roman" w:cs="Times New Roman"/>
      <w:color w:val="00FFFF"/>
      <w:sz w:val="20"/>
      <w:szCs w:val="20"/>
      <w:lang w:val="fr-FR" w:eastAsia="fr-BE"/>
    </w:rPr>
  </w:style>
  <w:style w:type="character" w:styleId="Appelnotedebasdep">
    <w:name w:val="footnote reference"/>
    <w:basedOn w:val="Policepardfaut"/>
    <w:rsid w:val="0082286B"/>
    <w:rPr>
      <w:vertAlign w:val="superscript"/>
    </w:rPr>
  </w:style>
  <w:style w:type="paragraph" w:styleId="En-tte">
    <w:name w:val="header"/>
    <w:basedOn w:val="Normal"/>
    <w:link w:val="En-tteCar"/>
    <w:uiPriority w:val="99"/>
    <w:semiHidden/>
    <w:unhideWhenUsed/>
    <w:rsid w:val="00050CC1"/>
    <w:pPr>
      <w:tabs>
        <w:tab w:val="center" w:pos="4536"/>
        <w:tab w:val="right" w:pos="9072"/>
      </w:tabs>
      <w:spacing w:before="0"/>
    </w:pPr>
  </w:style>
  <w:style w:type="character" w:customStyle="1" w:styleId="En-tteCar">
    <w:name w:val="En-tête Car"/>
    <w:basedOn w:val="Policepardfaut"/>
    <w:link w:val="En-tte"/>
    <w:uiPriority w:val="99"/>
    <w:semiHidden/>
    <w:rsid w:val="00050CC1"/>
    <w:rPr>
      <w:rFonts w:ascii="Arial" w:eastAsia="Times New Roman" w:hAnsi="Arial" w:cs="Times New Roman"/>
      <w:szCs w:val="20"/>
      <w:lang w:val="fr-FR" w:eastAsia="fr-BE"/>
    </w:rPr>
  </w:style>
  <w:style w:type="paragraph" w:styleId="Pieddepage">
    <w:name w:val="footer"/>
    <w:basedOn w:val="Normal"/>
    <w:link w:val="PieddepageCar"/>
    <w:uiPriority w:val="99"/>
    <w:semiHidden/>
    <w:unhideWhenUsed/>
    <w:rsid w:val="00050CC1"/>
    <w:pPr>
      <w:tabs>
        <w:tab w:val="center" w:pos="4536"/>
        <w:tab w:val="right" w:pos="9072"/>
      </w:tabs>
      <w:spacing w:before="0"/>
    </w:pPr>
  </w:style>
  <w:style w:type="character" w:customStyle="1" w:styleId="PieddepageCar">
    <w:name w:val="Pied de page Car"/>
    <w:basedOn w:val="Policepardfaut"/>
    <w:link w:val="Pieddepage"/>
    <w:uiPriority w:val="99"/>
    <w:semiHidden/>
    <w:rsid w:val="00050CC1"/>
    <w:rPr>
      <w:rFonts w:ascii="Arial" w:eastAsia="Times New Roman" w:hAnsi="Arial" w:cs="Times New Roman"/>
      <w:szCs w:val="20"/>
      <w:lang w:val="fr-FR" w:eastAsia="fr-BE"/>
    </w:rPr>
  </w:style>
  <w:style w:type="paragraph" w:styleId="Notedefin">
    <w:name w:val="endnote text"/>
    <w:basedOn w:val="Normal"/>
    <w:link w:val="NotedefinCar"/>
    <w:uiPriority w:val="99"/>
    <w:semiHidden/>
    <w:unhideWhenUsed/>
    <w:rsid w:val="00050CC1"/>
    <w:pPr>
      <w:spacing w:before="0"/>
    </w:pPr>
    <w:rPr>
      <w:sz w:val="20"/>
    </w:rPr>
  </w:style>
  <w:style w:type="character" w:customStyle="1" w:styleId="NotedefinCar">
    <w:name w:val="Note de fin Car"/>
    <w:basedOn w:val="Policepardfaut"/>
    <w:link w:val="Notedefin"/>
    <w:uiPriority w:val="99"/>
    <w:semiHidden/>
    <w:rsid w:val="00050CC1"/>
    <w:rPr>
      <w:rFonts w:ascii="Arial" w:eastAsia="Times New Roman" w:hAnsi="Arial" w:cs="Times New Roman"/>
      <w:sz w:val="20"/>
      <w:szCs w:val="20"/>
      <w:lang w:val="fr-FR" w:eastAsia="fr-BE"/>
    </w:rPr>
  </w:style>
  <w:style w:type="character" w:styleId="Appeldenotedefin">
    <w:name w:val="endnote reference"/>
    <w:basedOn w:val="Policepardfaut"/>
    <w:uiPriority w:val="99"/>
    <w:semiHidden/>
    <w:unhideWhenUsed/>
    <w:rsid w:val="00050CC1"/>
    <w:rPr>
      <w:vertAlign w:val="superscript"/>
    </w:rPr>
  </w:style>
  <w:style w:type="paragraph" w:customStyle="1" w:styleId="Puce1Cadre">
    <w:name w:val="Puce 1 Cadre"/>
    <w:basedOn w:val="Normal"/>
    <w:qFormat/>
    <w:rsid w:val="00A06853"/>
    <w:pPr>
      <w:pBdr>
        <w:top w:val="single" w:sz="12" w:space="1" w:color="auto"/>
        <w:left w:val="single" w:sz="12" w:space="4" w:color="auto"/>
        <w:bottom w:val="single" w:sz="12" w:space="1" w:color="auto"/>
        <w:right w:val="single" w:sz="12" w:space="4" w:color="auto"/>
      </w:pBdr>
      <w:tabs>
        <w:tab w:val="left" w:pos="284"/>
        <w:tab w:val="num" w:pos="360"/>
      </w:tabs>
      <w:spacing w:before="120"/>
      <w:ind w:left="357" w:hanging="357"/>
    </w:pPr>
  </w:style>
  <w:style w:type="paragraph" w:styleId="En-ttedetabledesmatires">
    <w:name w:val="TOC Heading"/>
    <w:basedOn w:val="Titre1"/>
    <w:next w:val="Normal"/>
    <w:uiPriority w:val="39"/>
    <w:semiHidden/>
    <w:unhideWhenUsed/>
    <w:qFormat/>
    <w:rsid w:val="00A91145"/>
    <w:pPr>
      <w:spacing w:line="276" w:lineRule="auto"/>
      <w:jc w:val="left"/>
      <w:outlineLvl w:val="9"/>
    </w:pPr>
    <w:rPr>
      <w:lang w:eastAsia="en-US"/>
    </w:rPr>
  </w:style>
  <w:style w:type="paragraph" w:styleId="TM1">
    <w:name w:val="toc 1"/>
    <w:basedOn w:val="Normal"/>
    <w:next w:val="Normal"/>
    <w:autoRedefine/>
    <w:uiPriority w:val="39"/>
    <w:unhideWhenUsed/>
    <w:rsid w:val="00A91145"/>
    <w:pPr>
      <w:spacing w:after="100"/>
    </w:pPr>
  </w:style>
  <w:style w:type="paragraph" w:styleId="Textedebulles">
    <w:name w:val="Balloon Text"/>
    <w:basedOn w:val="Normal"/>
    <w:link w:val="TextedebullesCar"/>
    <w:uiPriority w:val="99"/>
    <w:semiHidden/>
    <w:unhideWhenUsed/>
    <w:rsid w:val="00A91145"/>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145"/>
    <w:rPr>
      <w:rFonts w:ascii="Tahoma" w:eastAsia="Times New Roman" w:hAnsi="Tahoma" w:cs="Tahoma"/>
      <w:sz w:val="16"/>
      <w:szCs w:val="16"/>
      <w:lang w:val="fr-FR" w:eastAsia="fr-BE"/>
    </w:rPr>
  </w:style>
  <w:style w:type="character" w:customStyle="1" w:styleId="Titre2Car">
    <w:name w:val="Titre 2 Car"/>
    <w:basedOn w:val="Policepardfaut"/>
    <w:link w:val="Titre2"/>
    <w:uiPriority w:val="9"/>
    <w:rsid w:val="00F938BD"/>
    <w:rPr>
      <w:rFonts w:ascii="Arial" w:eastAsiaTheme="majorEastAsia" w:hAnsi="Arial" w:cstheme="majorBidi"/>
      <w:b/>
      <w:bCs/>
      <w:sz w:val="30"/>
      <w:szCs w:val="26"/>
      <w:u w:val="single"/>
      <w:lang w:val="fr-FR" w:eastAsia="fr-BE"/>
    </w:rPr>
  </w:style>
  <w:style w:type="paragraph" w:styleId="TM2">
    <w:name w:val="toc 2"/>
    <w:basedOn w:val="Normal"/>
    <w:next w:val="Normal"/>
    <w:autoRedefine/>
    <w:uiPriority w:val="39"/>
    <w:unhideWhenUsed/>
    <w:rsid w:val="00A91145"/>
    <w:pPr>
      <w:spacing w:after="100"/>
      <w:ind w:left="220"/>
    </w:pPr>
  </w:style>
  <w:style w:type="paragraph" w:styleId="Titre">
    <w:name w:val="Title"/>
    <w:basedOn w:val="Normal"/>
    <w:next w:val="Normal"/>
    <w:link w:val="TitreCar"/>
    <w:uiPriority w:val="10"/>
    <w:qFormat/>
    <w:rsid w:val="00F938BD"/>
    <w:pPr>
      <w:pBdr>
        <w:top w:val="double" w:sz="12" w:space="1" w:color="auto"/>
        <w:left w:val="double" w:sz="12" w:space="4" w:color="auto"/>
        <w:bottom w:val="double" w:sz="12" w:space="4" w:color="auto"/>
        <w:right w:val="double" w:sz="12" w:space="4" w:color="auto"/>
      </w:pBdr>
      <w:spacing w:before="0" w:after="300"/>
      <w:contextualSpacing/>
      <w:jc w:val="center"/>
    </w:pPr>
    <w:rPr>
      <w:rFonts w:eastAsiaTheme="majorEastAsia" w:cstheme="majorBidi"/>
      <w:b/>
      <w:spacing w:val="5"/>
      <w:kern w:val="28"/>
      <w:sz w:val="36"/>
      <w:szCs w:val="52"/>
    </w:rPr>
  </w:style>
  <w:style w:type="character" w:customStyle="1" w:styleId="TitreCar">
    <w:name w:val="Titre Car"/>
    <w:basedOn w:val="Policepardfaut"/>
    <w:link w:val="Titre"/>
    <w:uiPriority w:val="10"/>
    <w:rsid w:val="00F938BD"/>
    <w:rPr>
      <w:rFonts w:ascii="Arial" w:eastAsiaTheme="majorEastAsia" w:hAnsi="Arial" w:cstheme="majorBidi"/>
      <w:b/>
      <w:spacing w:val="5"/>
      <w:kern w:val="28"/>
      <w:sz w:val="36"/>
      <w:szCs w:val="52"/>
      <w:lang w:val="fr-FR" w:eastAsia="fr-BE"/>
    </w:rPr>
  </w:style>
  <w:style w:type="character" w:customStyle="1" w:styleId="Titre3Car">
    <w:name w:val="Titre 3 Car"/>
    <w:basedOn w:val="Policepardfaut"/>
    <w:link w:val="Titre3"/>
    <w:uiPriority w:val="9"/>
    <w:rsid w:val="00F938BD"/>
    <w:rPr>
      <w:rFonts w:ascii="Arial" w:eastAsiaTheme="majorEastAsia" w:hAnsi="Arial" w:cstheme="majorBidi"/>
      <w:b/>
      <w:bCs/>
      <w:sz w:val="28"/>
      <w:szCs w:val="20"/>
      <w:lang w:val="fr-FR" w:eastAsia="fr-BE"/>
    </w:rPr>
  </w:style>
  <w:style w:type="character" w:customStyle="1" w:styleId="Titre5Car">
    <w:name w:val="Titre 5 Car"/>
    <w:basedOn w:val="Policepardfaut"/>
    <w:link w:val="Titre5"/>
    <w:uiPriority w:val="9"/>
    <w:rsid w:val="00F938BD"/>
    <w:rPr>
      <w:rFonts w:ascii="Arial" w:eastAsiaTheme="majorEastAsia" w:hAnsi="Arial" w:cstheme="majorBidi"/>
      <w:szCs w:val="20"/>
      <w:lang w:val="fr-FR" w:eastAsia="fr-BE"/>
    </w:rPr>
  </w:style>
  <w:style w:type="paragraph" w:styleId="TM3">
    <w:name w:val="toc 3"/>
    <w:basedOn w:val="Normal"/>
    <w:next w:val="Normal"/>
    <w:autoRedefine/>
    <w:uiPriority w:val="39"/>
    <w:unhideWhenUsed/>
    <w:rsid w:val="006B3928"/>
    <w:pPr>
      <w:spacing w:after="100"/>
      <w:ind w:left="440"/>
    </w:pPr>
  </w:style>
  <w:style w:type="paragraph" w:customStyle="1" w:styleId="CSCTitre3">
    <w:name w:val="CSC Titre 3"/>
    <w:basedOn w:val="Titre2"/>
    <w:link w:val="CSCTitre3Car"/>
    <w:qFormat/>
    <w:rsid w:val="009C063D"/>
    <w:pPr>
      <w:tabs>
        <w:tab w:val="left" w:pos="4536"/>
      </w:tabs>
      <w:spacing w:before="200" w:after="0" w:line="312" w:lineRule="exact"/>
    </w:pPr>
    <w:rPr>
      <w:rFonts w:asciiTheme="majorHAnsi" w:hAnsiTheme="majorHAnsi"/>
      <w:color w:val="4F81BD" w:themeColor="accent1"/>
      <w:sz w:val="26"/>
      <w:u w:val="none"/>
    </w:rPr>
  </w:style>
  <w:style w:type="character" w:customStyle="1" w:styleId="CSCTitre3Car">
    <w:name w:val="CSC Titre 3 Car"/>
    <w:basedOn w:val="Policepardfaut"/>
    <w:link w:val="CSCTitre3"/>
    <w:rsid w:val="009C063D"/>
    <w:rPr>
      <w:rFonts w:asciiTheme="majorHAnsi" w:eastAsiaTheme="majorEastAsia" w:hAnsiTheme="majorHAnsi" w:cstheme="majorBidi"/>
      <w:b/>
      <w:bCs/>
      <w:color w:val="4F81BD" w:themeColor="accent1"/>
      <w:sz w:val="26"/>
      <w:szCs w:val="26"/>
      <w:lang w:val="fr-FR" w:eastAsia="fr-BE"/>
    </w:rPr>
  </w:style>
  <w:style w:type="character" w:customStyle="1" w:styleId="ParagraphedelisteCar">
    <w:name w:val="Paragraphe de liste Car"/>
    <w:basedOn w:val="Policepardfaut"/>
    <w:link w:val="Paragraphedeliste"/>
    <w:uiPriority w:val="34"/>
    <w:rsid w:val="009C063D"/>
    <w:rPr>
      <w:rFonts w:ascii="Times New Roman" w:eastAsia="Times New Roman" w:hAnsi="Times New Roman" w:cs="Times New Roman"/>
      <w:sz w:val="24"/>
      <w:szCs w:val="24"/>
      <w:lang w:eastAsia="fr-BE"/>
    </w:rPr>
  </w:style>
  <w:style w:type="paragraph" w:customStyle="1" w:styleId="Puces0-2">
    <w:name w:val="Puces 0-2"/>
    <w:basedOn w:val="Normal"/>
    <w:qFormat/>
    <w:rsid w:val="007F0C4F"/>
    <w:pPr>
      <w:numPr>
        <w:numId w:val="30"/>
      </w:numPr>
      <w:tabs>
        <w:tab w:val="left" w:pos="697"/>
      </w:tabs>
      <w:spacing w:before="60"/>
      <w:ind w:left="680" w:hanging="340"/>
    </w:pPr>
  </w:style>
  <w:style w:type="paragraph" w:customStyle="1" w:styleId="PucesN-2">
    <w:name w:val="Puces N-2"/>
    <w:basedOn w:val="Puces0-2"/>
    <w:link w:val="PucesN-2Car"/>
    <w:qFormat/>
    <w:rsid w:val="007F0C4F"/>
    <w:pPr>
      <w:ind w:left="1037"/>
    </w:pPr>
  </w:style>
  <w:style w:type="character" w:customStyle="1" w:styleId="PucesN-2Car">
    <w:name w:val="Puces N-2 Car"/>
    <w:basedOn w:val="Policepardfaut"/>
    <w:link w:val="PucesN-2"/>
    <w:rsid w:val="007F0C4F"/>
    <w:rPr>
      <w:rFonts w:ascii="Arial" w:eastAsia="Times New Roman" w:hAnsi="Arial" w:cs="Times New Roman"/>
      <w:szCs w:val="20"/>
      <w:lang w:val="fr-FR" w:eastAsia="fr-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c.spw.walloni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tools/espd?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42642-6F29-435A-905E-D4861C48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8971</Words>
  <Characters>49341</Characters>
  <Application>Microsoft Office Word</Application>
  <DocSecurity>0</DocSecurity>
  <Lines>411</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36344</dc:creator>
  <cp:lastModifiedBy>36344</cp:lastModifiedBy>
  <cp:revision>5</cp:revision>
  <cp:lastPrinted>2017-10-30T10:06:00Z</cp:lastPrinted>
  <dcterms:created xsi:type="dcterms:W3CDTF">2018-01-16T15:18:00Z</dcterms:created>
  <dcterms:modified xsi:type="dcterms:W3CDTF">2018-01-22T14:15:00Z</dcterms:modified>
</cp:coreProperties>
</file>