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FB" w:rsidRDefault="006D0FFB">
      <w:pPr>
        <w:pStyle w:val="Titre0"/>
        <w:pBdr>
          <w:top w:val="double" w:sz="12" w:space="6" w:color="auto"/>
          <w:left w:val="double" w:sz="12" w:space="0" w:color="auto"/>
          <w:bottom w:val="double" w:sz="12" w:space="6" w:color="auto"/>
          <w:right w:val="double" w:sz="12" w:space="0" w:color="auto"/>
          <w:between w:val="single" w:sz="6" w:space="6" w:color="000000"/>
        </w:pBdr>
        <w:spacing w:after="240"/>
        <w:ind w:left="0" w:right="0"/>
      </w:pPr>
      <w:bookmarkStart w:id="0" w:name="_GoBack"/>
      <w:bookmarkEnd w:id="0"/>
      <w:r>
        <w:t>Formulaire d’introduction d’un décompte final</w:t>
      </w:r>
      <w:r w:rsidR="000B4886">
        <w:t xml:space="preserve"> dans le cadre du Fonds régional pour les investissements communaux</w:t>
      </w:r>
    </w:p>
    <w:p w:rsidR="000B4886" w:rsidRDefault="000B4886" w:rsidP="000B4886">
      <w:pPr>
        <w:tabs>
          <w:tab w:val="right" w:leader="dot" w:pos="9072"/>
        </w:tabs>
        <w:spacing w:before="120" w:after="240"/>
        <w:jc w:val="both"/>
        <w:rPr>
          <w:sz w:val="24"/>
        </w:rPr>
      </w:pPr>
      <w:r>
        <w:rPr>
          <w:sz w:val="24"/>
        </w:rPr>
        <w:t xml:space="preserve">Commune de </w:t>
      </w:r>
      <w:r>
        <w:rPr>
          <w:sz w:val="24"/>
        </w:rPr>
        <w:tab/>
      </w:r>
    </w:p>
    <w:p w:rsidR="000B4886" w:rsidRDefault="000B4886" w:rsidP="000B4886">
      <w:pPr>
        <w:tabs>
          <w:tab w:val="right" w:leader="dot" w:pos="9072"/>
        </w:tabs>
        <w:jc w:val="both"/>
        <w:rPr>
          <w:sz w:val="24"/>
        </w:rPr>
      </w:pPr>
      <w:r>
        <w:rPr>
          <w:sz w:val="24"/>
        </w:rPr>
        <w:t xml:space="preserve">Objet de l'investissement concerné </w:t>
      </w:r>
    </w:p>
    <w:p w:rsidR="000B4886" w:rsidRDefault="000B4886" w:rsidP="000B4886">
      <w:pPr>
        <w:tabs>
          <w:tab w:val="right" w:leader="dot" w:pos="9072"/>
        </w:tabs>
        <w:spacing w:after="240"/>
        <w:jc w:val="both"/>
        <w:rPr>
          <w:sz w:val="24"/>
        </w:rPr>
      </w:pPr>
      <w:r>
        <w:rPr>
          <w:sz w:val="24"/>
        </w:rPr>
        <w:t>(</w:t>
      </w:r>
      <w:proofErr w:type="gramStart"/>
      <w:r>
        <w:rPr>
          <w:sz w:val="24"/>
        </w:rPr>
        <w:t>tel</w:t>
      </w:r>
      <w:proofErr w:type="gramEnd"/>
      <w:r>
        <w:rPr>
          <w:sz w:val="24"/>
        </w:rPr>
        <w:t xml:space="preserve"> que mentionné dans le plan d’investissement communal approuvé)</w:t>
      </w:r>
      <w:r w:rsidR="00ED684B">
        <w:rPr>
          <w:sz w:val="24"/>
        </w:rPr>
        <w:t>:</w:t>
      </w:r>
      <w:r>
        <w:rPr>
          <w:sz w:val="24"/>
        </w:rPr>
        <w:t xml:space="preserve"> </w:t>
      </w:r>
      <w:r>
        <w:rPr>
          <w:sz w:val="24"/>
        </w:rPr>
        <w:tab/>
      </w:r>
    </w:p>
    <w:p w:rsidR="000B4886" w:rsidRDefault="000B4886" w:rsidP="000B4886">
      <w:pPr>
        <w:tabs>
          <w:tab w:val="right" w:leader="dot" w:pos="9072"/>
        </w:tabs>
        <w:spacing w:after="360"/>
        <w:jc w:val="both"/>
        <w:rPr>
          <w:sz w:val="24"/>
        </w:rPr>
      </w:pPr>
      <w:r>
        <w:rPr>
          <w:sz w:val="24"/>
        </w:rPr>
        <w:tab/>
      </w:r>
    </w:p>
    <w:p w:rsidR="000B4886" w:rsidRDefault="000B4886" w:rsidP="000B4886">
      <w:pPr>
        <w:tabs>
          <w:tab w:val="right" w:leader="dot" w:pos="9072"/>
        </w:tabs>
        <w:spacing w:after="360"/>
        <w:jc w:val="both"/>
        <w:rPr>
          <w:sz w:val="24"/>
        </w:rPr>
      </w:pPr>
      <w:r>
        <w:rPr>
          <w:sz w:val="24"/>
        </w:rPr>
        <w:tab/>
      </w:r>
    </w:p>
    <w:p w:rsidR="000B4886" w:rsidRDefault="000B4886" w:rsidP="000B4886">
      <w:pPr>
        <w:tabs>
          <w:tab w:val="right" w:leader="dot" w:pos="9072"/>
        </w:tabs>
        <w:spacing w:after="240"/>
        <w:jc w:val="both"/>
        <w:rPr>
          <w:sz w:val="24"/>
        </w:rPr>
      </w:pPr>
      <w:r>
        <w:rPr>
          <w:sz w:val="24"/>
        </w:rPr>
        <w:t xml:space="preserve">N° de l’investissement repris au plan d’investissement communal </w:t>
      </w:r>
      <w:proofErr w:type="gramStart"/>
      <w:r>
        <w:rPr>
          <w:sz w:val="24"/>
        </w:rPr>
        <w:t>approuvé</w:t>
      </w:r>
      <w:r w:rsidR="00ED684B">
        <w:rPr>
          <w:sz w:val="24"/>
        </w:rPr>
        <w:t>:</w:t>
      </w:r>
      <w:proofErr w:type="gramEnd"/>
      <w:r>
        <w:rPr>
          <w:sz w:val="24"/>
        </w:rPr>
        <w:t xml:space="preserve"> </w:t>
      </w:r>
      <w:r>
        <w:rPr>
          <w:sz w:val="24"/>
        </w:rPr>
        <w:tab/>
      </w:r>
    </w:p>
    <w:p w:rsidR="000B4886" w:rsidRDefault="000B4886" w:rsidP="000B4886">
      <w:pPr>
        <w:tabs>
          <w:tab w:val="right" w:leader="dot" w:pos="9072"/>
        </w:tabs>
        <w:spacing w:before="120" w:after="240"/>
        <w:rPr>
          <w:sz w:val="24"/>
        </w:rPr>
      </w:pPr>
      <w:r>
        <w:rPr>
          <w:sz w:val="24"/>
        </w:rPr>
        <w:t xml:space="preserve">Personne de </w:t>
      </w:r>
      <w:proofErr w:type="gramStart"/>
      <w:r>
        <w:rPr>
          <w:sz w:val="24"/>
        </w:rPr>
        <w:t>contact</w:t>
      </w:r>
      <w:r w:rsidR="00ED684B">
        <w:rPr>
          <w:sz w:val="24"/>
        </w:rPr>
        <w:t>:</w:t>
      </w:r>
      <w:proofErr w:type="gramEnd"/>
      <w:r>
        <w:rPr>
          <w:sz w:val="24"/>
        </w:rPr>
        <w:t xml:space="preserve"> </w:t>
      </w:r>
      <w:r>
        <w:rPr>
          <w:sz w:val="24"/>
        </w:rPr>
        <w:tab/>
      </w:r>
    </w:p>
    <w:p w:rsidR="006D0FFB" w:rsidRDefault="006D0FFB">
      <w:pPr>
        <w:pBdr>
          <w:bottom w:val="single" w:sz="18" w:space="1" w:color="000000"/>
        </w:pBdr>
        <w:spacing w:after="240"/>
        <w:rPr>
          <w:sz w:val="24"/>
        </w:rPr>
      </w:pPr>
    </w:p>
    <w:p w:rsidR="006D0FFB" w:rsidRPr="00C43D5C" w:rsidRDefault="006D0FFB">
      <w:pPr>
        <w:pStyle w:val="Titre7"/>
        <w:spacing w:before="0"/>
        <w:rPr>
          <w:rFonts w:ascii="Times New Roman" w:hAnsi="Times New Roman"/>
          <w:b w:val="0"/>
          <w:u w:val="none"/>
        </w:rPr>
      </w:pPr>
      <w:r>
        <w:rPr>
          <w:rFonts w:ascii="Times New Roman" w:hAnsi="Times New Roman"/>
        </w:rPr>
        <w:t>Composition du dossier</w:t>
      </w:r>
      <w:r w:rsidR="00C43D5C">
        <w:rPr>
          <w:rFonts w:ascii="Times New Roman" w:hAnsi="Times New Roman"/>
          <w:b w:val="0"/>
          <w:u w:val="none"/>
        </w:rPr>
        <w:t xml:space="preserve"> (en un seul exemplaire)</w:t>
      </w:r>
    </w:p>
    <w:p w:rsidR="006D0FFB" w:rsidRDefault="009306BA" w:rsidP="000B4886">
      <w:pPr>
        <w:pStyle w:val="Titre9"/>
        <w:spacing w:after="240"/>
      </w:pPr>
      <w:r>
        <w:t>D</w:t>
      </w:r>
      <w:r w:rsidR="006D0FFB">
        <w:t>ans tous les cas</w:t>
      </w:r>
    </w:p>
    <w:p w:rsidR="006D0FFB" w:rsidRDefault="006D0FFB" w:rsidP="000B4886">
      <w:pPr>
        <w:numPr>
          <w:ilvl w:val="0"/>
          <w:numId w:val="1"/>
        </w:numPr>
        <w:spacing w:after="240"/>
        <w:jc w:val="both"/>
        <w:rPr>
          <w:sz w:val="24"/>
        </w:rPr>
      </w:pPr>
      <w:r>
        <w:rPr>
          <w:sz w:val="24"/>
        </w:rPr>
        <w:t>Le</w:t>
      </w:r>
      <w:r w:rsidR="000B4886">
        <w:rPr>
          <w:sz w:val="24"/>
        </w:rPr>
        <w:t xml:space="preserve"> décompte final de l'entreprise, en ce compris le rapport justifiant les dépassements de quantité de plus de 10 %.</w:t>
      </w:r>
    </w:p>
    <w:p w:rsidR="006D0FFB" w:rsidRDefault="006D0FFB" w:rsidP="000B4886">
      <w:pPr>
        <w:numPr>
          <w:ilvl w:val="0"/>
          <w:numId w:val="1"/>
        </w:numPr>
        <w:spacing w:after="240"/>
        <w:jc w:val="both"/>
        <w:rPr>
          <w:sz w:val="24"/>
        </w:rPr>
      </w:pPr>
      <w:r>
        <w:rPr>
          <w:sz w:val="24"/>
        </w:rPr>
        <w:t>Le procès-verbal de réception provisoire</w:t>
      </w:r>
      <w:r w:rsidR="000B4886">
        <w:rPr>
          <w:sz w:val="24"/>
        </w:rPr>
        <w:t>.</w:t>
      </w:r>
    </w:p>
    <w:p w:rsidR="006D0FFB" w:rsidRDefault="006D0FFB" w:rsidP="000B4886">
      <w:pPr>
        <w:numPr>
          <w:ilvl w:val="0"/>
          <w:numId w:val="1"/>
        </w:numPr>
        <w:spacing w:after="240"/>
        <w:jc w:val="both"/>
        <w:rPr>
          <w:sz w:val="24"/>
        </w:rPr>
      </w:pPr>
      <w:r>
        <w:rPr>
          <w:sz w:val="24"/>
        </w:rPr>
        <w:t>La délibération approuvant le décompte</w:t>
      </w:r>
      <w:r w:rsidR="000B4886">
        <w:rPr>
          <w:sz w:val="24"/>
        </w:rPr>
        <w:t>.</w:t>
      </w:r>
    </w:p>
    <w:p w:rsidR="000B4886" w:rsidRDefault="000B4886" w:rsidP="000B4886">
      <w:pPr>
        <w:numPr>
          <w:ilvl w:val="0"/>
          <w:numId w:val="1"/>
        </w:numPr>
        <w:spacing w:after="240"/>
        <w:jc w:val="both"/>
        <w:rPr>
          <w:sz w:val="24"/>
        </w:rPr>
      </w:pPr>
      <w:r>
        <w:rPr>
          <w:sz w:val="24"/>
        </w:rPr>
        <w:t>Les justificatifs afférents aux études.</w:t>
      </w:r>
    </w:p>
    <w:p w:rsidR="006D0FFB" w:rsidRDefault="009306BA" w:rsidP="000B4886">
      <w:pPr>
        <w:pStyle w:val="Titre9"/>
        <w:spacing w:after="240"/>
      </w:pPr>
      <w:r>
        <w:t>L</w:t>
      </w:r>
      <w:r w:rsidR="006D0FFB">
        <w:t>e cas échéant</w:t>
      </w:r>
    </w:p>
    <w:p w:rsidR="000B4886" w:rsidRDefault="000B4886" w:rsidP="000B4886">
      <w:pPr>
        <w:numPr>
          <w:ilvl w:val="0"/>
          <w:numId w:val="1"/>
        </w:numPr>
        <w:spacing w:after="240"/>
        <w:jc w:val="both"/>
        <w:rPr>
          <w:sz w:val="24"/>
        </w:rPr>
      </w:pPr>
      <w:r>
        <w:rPr>
          <w:sz w:val="24"/>
        </w:rPr>
        <w:t>Les bons d’évacuation accompagnés, pour chacun d’eux, du formulaire délivré par le responsable du CET (centre d’enfouissement technique) ou du CTA (centre de traitement autorisé).</w:t>
      </w:r>
    </w:p>
    <w:p w:rsidR="006D0FFB" w:rsidRDefault="006D0FFB" w:rsidP="000B4886">
      <w:pPr>
        <w:numPr>
          <w:ilvl w:val="0"/>
          <w:numId w:val="1"/>
        </w:numPr>
        <w:spacing w:after="240"/>
        <w:ind w:left="284" w:hanging="284"/>
        <w:jc w:val="both"/>
        <w:rPr>
          <w:sz w:val="24"/>
        </w:rPr>
      </w:pPr>
      <w:r>
        <w:rPr>
          <w:sz w:val="24"/>
        </w:rPr>
        <w:t>Les factures et les procès-verbaux des essais accompagnés du rapport de l'auteur de projet avec</w:t>
      </w:r>
      <w:r w:rsidR="000B4886">
        <w:rPr>
          <w:sz w:val="24"/>
        </w:rPr>
        <w:t xml:space="preserve"> éventuellement</w:t>
      </w:r>
      <w:r>
        <w:rPr>
          <w:sz w:val="24"/>
        </w:rPr>
        <w:t xml:space="preserve"> le détail des postes sur lesquels s'appliquent les réfactions et le calcul de celles-ci</w:t>
      </w:r>
      <w:r w:rsidR="00C43D5C">
        <w:rPr>
          <w:sz w:val="24"/>
        </w:rPr>
        <w:t>.</w:t>
      </w:r>
    </w:p>
    <w:p w:rsidR="006D0FFB" w:rsidRDefault="006D0FFB" w:rsidP="000B4886">
      <w:pPr>
        <w:numPr>
          <w:ilvl w:val="0"/>
          <w:numId w:val="1"/>
        </w:numPr>
        <w:spacing w:after="240"/>
        <w:jc w:val="both"/>
        <w:rPr>
          <w:sz w:val="24"/>
        </w:rPr>
      </w:pPr>
      <w:r>
        <w:rPr>
          <w:sz w:val="24"/>
        </w:rPr>
        <w:t xml:space="preserve">Le </w:t>
      </w:r>
      <w:r w:rsidR="000B4886">
        <w:rPr>
          <w:sz w:val="24"/>
        </w:rPr>
        <w:t xml:space="preserve">calcul du délai d’exécution des travaux et le </w:t>
      </w:r>
      <w:r>
        <w:rPr>
          <w:sz w:val="24"/>
        </w:rPr>
        <w:t>calcul des amendes de retard</w:t>
      </w:r>
      <w:r w:rsidR="000B4886">
        <w:rPr>
          <w:sz w:val="24"/>
        </w:rPr>
        <w:t xml:space="preserve"> éventuelles.</w:t>
      </w:r>
    </w:p>
    <w:p w:rsidR="006D0FFB" w:rsidRDefault="006D0FFB" w:rsidP="000B4886">
      <w:pPr>
        <w:numPr>
          <w:ilvl w:val="0"/>
          <w:numId w:val="1"/>
        </w:numPr>
        <w:spacing w:after="240"/>
        <w:ind w:left="284" w:hanging="284"/>
        <w:jc w:val="both"/>
        <w:rPr>
          <w:sz w:val="24"/>
        </w:rPr>
      </w:pPr>
      <w:r>
        <w:rPr>
          <w:sz w:val="24"/>
        </w:rPr>
        <w:t>Un rapport justifiant chacun des travaux modificatifs et supplémentaires avec l’indication des quantités des postes utilisés pour exécuter le travail et, pour les travaux modificatifs, des quantités en moins des postes non utilisés</w:t>
      </w:r>
      <w:r w:rsidR="000B4886">
        <w:rPr>
          <w:sz w:val="24"/>
        </w:rPr>
        <w:t>.</w:t>
      </w:r>
    </w:p>
    <w:p w:rsidR="006D0FFB" w:rsidRDefault="006D0FFB" w:rsidP="000B4886">
      <w:pPr>
        <w:numPr>
          <w:ilvl w:val="0"/>
          <w:numId w:val="1"/>
        </w:numPr>
        <w:spacing w:after="240"/>
        <w:ind w:left="284" w:hanging="284"/>
        <w:jc w:val="both"/>
        <w:rPr>
          <w:sz w:val="24"/>
        </w:rPr>
      </w:pPr>
      <w:r>
        <w:rPr>
          <w:sz w:val="24"/>
        </w:rPr>
        <w:t>Le ou les avenants motivés</w:t>
      </w:r>
      <w:r w:rsidR="000B4886">
        <w:rPr>
          <w:sz w:val="24"/>
        </w:rPr>
        <w:t xml:space="preserve"> relatif</w:t>
      </w:r>
      <w:r>
        <w:rPr>
          <w:sz w:val="24"/>
        </w:rPr>
        <w:t>s aux modifications et aux travaux supplémentaires</w:t>
      </w:r>
      <w:r w:rsidR="000B4886">
        <w:rPr>
          <w:sz w:val="24"/>
        </w:rPr>
        <w:t>.</w:t>
      </w:r>
    </w:p>
    <w:p w:rsidR="006D0FFB" w:rsidRDefault="006D0FFB" w:rsidP="000B4886">
      <w:pPr>
        <w:tabs>
          <w:tab w:val="left" w:pos="907"/>
        </w:tabs>
        <w:spacing w:before="240" w:after="240"/>
        <w:jc w:val="both"/>
        <w:rPr>
          <w:sz w:val="24"/>
        </w:rPr>
      </w:pPr>
      <w:r>
        <w:rPr>
          <w:sz w:val="24"/>
        </w:rPr>
        <w:t>Fait à …………………</w:t>
      </w:r>
      <w:proofErr w:type="gramStart"/>
      <w:r>
        <w:rPr>
          <w:sz w:val="24"/>
        </w:rPr>
        <w:t>…….</w:t>
      </w:r>
      <w:proofErr w:type="gramEnd"/>
      <w:r>
        <w:rPr>
          <w:sz w:val="24"/>
        </w:rPr>
        <w:t>, le …/…/….</w:t>
      </w:r>
    </w:p>
    <w:p w:rsidR="006D0FFB" w:rsidRDefault="006D0FFB">
      <w:pPr>
        <w:tabs>
          <w:tab w:val="left" w:pos="5812"/>
        </w:tabs>
        <w:spacing w:after="240"/>
        <w:rPr>
          <w:sz w:val="24"/>
        </w:rPr>
      </w:pPr>
      <w:r>
        <w:rPr>
          <w:sz w:val="24"/>
        </w:rPr>
        <w:t xml:space="preserve">Le </w:t>
      </w:r>
      <w:r w:rsidR="00C43D5C">
        <w:rPr>
          <w:sz w:val="24"/>
        </w:rPr>
        <w:t>Directeur général/La Directrice générale</w:t>
      </w:r>
      <w:r>
        <w:rPr>
          <w:sz w:val="24"/>
        </w:rPr>
        <w:t>,</w:t>
      </w:r>
      <w:r>
        <w:rPr>
          <w:sz w:val="24"/>
        </w:rPr>
        <w:tab/>
        <w:t>Le</w:t>
      </w:r>
      <w:r w:rsidR="00C43D5C">
        <w:rPr>
          <w:sz w:val="24"/>
        </w:rPr>
        <w:t>/La</w:t>
      </w:r>
      <w:r>
        <w:rPr>
          <w:sz w:val="24"/>
        </w:rPr>
        <w:t xml:space="preserve"> Bourgmestre,</w:t>
      </w:r>
      <w:r>
        <w:rPr>
          <w:sz w:val="24"/>
        </w:rPr>
        <w:br/>
      </w:r>
      <w:r>
        <w:rPr>
          <w:sz w:val="24"/>
        </w:rPr>
        <w:sym w:font="Wingdings" w:char="F03F"/>
      </w:r>
      <w:r>
        <w:rPr>
          <w:sz w:val="24"/>
        </w:rPr>
        <w:tab/>
      </w:r>
      <w:r>
        <w:rPr>
          <w:sz w:val="24"/>
        </w:rPr>
        <w:sym w:font="Wingdings" w:char="F03F"/>
      </w:r>
    </w:p>
    <w:sectPr w:rsidR="006D0FFB" w:rsidSect="000B4886">
      <w:footnotePr>
        <w:numRestart w:val="eachSect"/>
      </w:footnotePr>
      <w:pgSz w:w="11907" w:h="16840" w:code="9"/>
      <w:pgMar w:top="907" w:right="1134" w:bottom="90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F8" w:rsidRDefault="007757F8" w:rsidP="006D0FFB">
      <w:r>
        <w:separator/>
      </w:r>
    </w:p>
  </w:endnote>
  <w:endnote w:type="continuationSeparator" w:id="0">
    <w:p w:rsidR="007757F8" w:rsidRDefault="007757F8" w:rsidP="006D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ggadocio">
    <w:altName w:val="Courier New"/>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F8" w:rsidRDefault="007757F8" w:rsidP="006D0FFB">
      <w:r>
        <w:separator/>
      </w:r>
    </w:p>
  </w:footnote>
  <w:footnote w:type="continuationSeparator" w:id="0">
    <w:p w:rsidR="007757F8" w:rsidRDefault="007757F8" w:rsidP="006D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Braggadocio" w:hAnsi="Braggadocio"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06BA"/>
    <w:rsid w:val="000B4886"/>
    <w:rsid w:val="002D6F7A"/>
    <w:rsid w:val="006D0FFB"/>
    <w:rsid w:val="007757F8"/>
    <w:rsid w:val="00775F63"/>
    <w:rsid w:val="007B0F92"/>
    <w:rsid w:val="009246F0"/>
    <w:rsid w:val="009306BA"/>
    <w:rsid w:val="00C43D5C"/>
    <w:rsid w:val="00CB4EF6"/>
    <w:rsid w:val="00D157A7"/>
    <w:rsid w:val="00ED68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docId w15:val="{AE370014-712E-4E9C-B169-B794DD60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qFormat/>
    <w:pPr>
      <w:spacing w:before="120" w:after="120" w:line="240" w:lineRule="exact"/>
      <w:outlineLvl w:val="0"/>
    </w:pPr>
    <w:rPr>
      <w:caps/>
      <w:sz w:val="24"/>
    </w:rPr>
  </w:style>
  <w:style w:type="paragraph" w:styleId="Titre2">
    <w:name w:val="heading 2"/>
    <w:basedOn w:val="Normal"/>
    <w:next w:val="Normal"/>
    <w:qFormat/>
    <w:pPr>
      <w:spacing w:before="120" w:after="120" w:line="240" w:lineRule="exact"/>
      <w:ind w:left="284"/>
      <w:outlineLvl w:val="1"/>
    </w:pPr>
    <w:rPr>
      <w:rFonts w:ascii="ZapfChancery" w:hAnsi="ZapfChancery"/>
      <w:caps/>
      <w:sz w:val="24"/>
      <w:u w:val="single"/>
    </w:rPr>
  </w:style>
  <w:style w:type="paragraph" w:styleId="Titre3">
    <w:name w:val="heading 3"/>
    <w:basedOn w:val="Normal"/>
    <w:next w:val="Normal"/>
    <w:qFormat/>
    <w:pPr>
      <w:spacing w:before="120" w:after="120" w:line="240" w:lineRule="exact"/>
      <w:ind w:left="567"/>
      <w:outlineLvl w:val="2"/>
    </w:pPr>
    <w:rPr>
      <w:rFonts w:ascii="Courier" w:hAnsi="Courier"/>
      <w:b/>
      <w:caps/>
      <w:sz w:val="24"/>
      <w:u w:val="single"/>
    </w:rPr>
  </w:style>
  <w:style w:type="paragraph" w:styleId="Titre4">
    <w:name w:val="heading 4"/>
    <w:basedOn w:val="Normal"/>
    <w:next w:val="Normal"/>
    <w:qFormat/>
    <w:pPr>
      <w:spacing w:before="120" w:after="120" w:line="240" w:lineRule="exact"/>
      <w:ind w:left="851"/>
      <w:outlineLvl w:val="3"/>
    </w:pPr>
    <w:rPr>
      <w:rFonts w:ascii="Courier" w:hAnsi="Courier"/>
      <w:b/>
      <w:i/>
      <w:caps/>
      <w:sz w:val="24"/>
    </w:rPr>
  </w:style>
  <w:style w:type="paragraph" w:styleId="Titre5">
    <w:name w:val="heading 5"/>
    <w:basedOn w:val="Normal"/>
    <w:next w:val="Normal"/>
    <w:qFormat/>
    <w:pPr>
      <w:spacing w:before="120" w:after="120" w:line="240" w:lineRule="exact"/>
      <w:ind w:left="1134"/>
      <w:outlineLvl w:val="4"/>
    </w:pPr>
    <w:rPr>
      <w:rFonts w:ascii="Courier" w:hAnsi="Courier"/>
      <w:b/>
      <w:sz w:val="24"/>
    </w:rPr>
  </w:style>
  <w:style w:type="paragraph" w:styleId="Titre6">
    <w:name w:val="heading 6"/>
    <w:basedOn w:val="Normal"/>
    <w:next w:val="Normal"/>
    <w:qFormat/>
    <w:pPr>
      <w:keepNext/>
      <w:pBdr>
        <w:top w:val="single" w:sz="6" w:space="1" w:color="auto"/>
        <w:left w:val="single" w:sz="6" w:space="1" w:color="auto"/>
        <w:bottom w:val="single" w:sz="6" w:space="1" w:color="auto"/>
        <w:right w:val="single" w:sz="6" w:space="1" w:color="auto"/>
      </w:pBdr>
      <w:spacing w:after="240"/>
      <w:ind w:right="10773"/>
      <w:jc w:val="center"/>
      <w:outlineLvl w:val="5"/>
    </w:pPr>
    <w:rPr>
      <w:rFonts w:ascii="CG Times" w:hAnsi="CG Times"/>
      <w:b/>
      <w:sz w:val="24"/>
    </w:rPr>
  </w:style>
  <w:style w:type="paragraph" w:styleId="Titre7">
    <w:name w:val="heading 7"/>
    <w:basedOn w:val="Normal"/>
    <w:next w:val="Normal"/>
    <w:qFormat/>
    <w:pPr>
      <w:keepNext/>
      <w:spacing w:before="240" w:after="240"/>
      <w:outlineLvl w:val="6"/>
    </w:pPr>
    <w:rPr>
      <w:rFonts w:ascii="CG Times" w:hAnsi="CG Times"/>
      <w:b/>
      <w:i/>
      <w:sz w:val="28"/>
      <w:u w:val="double"/>
    </w:rPr>
  </w:style>
  <w:style w:type="paragraph" w:styleId="Titre8">
    <w:name w:val="heading 8"/>
    <w:basedOn w:val="Normal"/>
    <w:next w:val="Normal"/>
    <w:qFormat/>
    <w:pPr>
      <w:keepNext/>
      <w:outlineLvl w:val="7"/>
    </w:pPr>
    <w:rPr>
      <w:b/>
      <w:sz w:val="24"/>
      <w:u w:val="single"/>
    </w:rPr>
  </w:style>
  <w:style w:type="paragraph" w:styleId="Titre9">
    <w:name w:val="heading 9"/>
    <w:basedOn w:val="Normal"/>
    <w:next w:val="Normal"/>
    <w:qFormat/>
    <w:pPr>
      <w:keepNext/>
      <w:spacing w:after="120"/>
      <w:jc w:val="both"/>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pPr>
      <w:spacing w:after="480" w:line="240" w:lineRule="exact"/>
      <w:ind w:left="567" w:right="567"/>
      <w:jc w:val="center"/>
    </w:pPr>
    <w:rPr>
      <w:rFonts w:ascii="Courier" w:hAnsi="Courier"/>
      <w:b/>
      <w:caps/>
      <w:sz w:val="32"/>
      <w:u w:val="double"/>
      <w:lang w:val="fr-FR"/>
    </w:rPr>
  </w:style>
  <w:style w:type="paragraph" w:customStyle="1" w:styleId="11">
    <w:name w:val="11"/>
    <w:pPr>
      <w:ind w:left="397"/>
      <w:jc w:val="both"/>
    </w:pPr>
    <w:rPr>
      <w:rFonts w:ascii="Courier" w:hAnsi="Courier"/>
      <w:sz w:val="24"/>
      <w:lang w:val="fr-FR"/>
    </w:rPr>
  </w:style>
  <w:style w:type="paragraph" w:customStyle="1" w:styleId="31">
    <w:name w:val="31"/>
    <w:pPr>
      <w:ind w:left="851"/>
      <w:jc w:val="both"/>
    </w:pPr>
    <w:rPr>
      <w:rFonts w:ascii="Courier" w:hAnsi="Courier"/>
      <w:sz w:val="24"/>
      <w:lang w:val="fr-FR"/>
    </w:rPr>
  </w:style>
  <w:style w:type="paragraph" w:customStyle="1" w:styleId="P6">
    <w:name w:val="P6"/>
    <w:pPr>
      <w:ind w:left="1531"/>
      <w:jc w:val="both"/>
    </w:pPr>
    <w:rPr>
      <w:rFonts w:ascii="Courier" w:hAnsi="Courier"/>
      <w:sz w:val="24"/>
      <w:lang w:val="fr-FR"/>
    </w:rPr>
  </w:style>
  <w:style w:type="paragraph" w:customStyle="1" w:styleId="paragrapheniv1">
    <w:name w:val="paragraphe niv 1"/>
    <w:pPr>
      <w:tabs>
        <w:tab w:val="left" w:pos="567"/>
      </w:tabs>
      <w:spacing w:line="240" w:lineRule="exact"/>
      <w:ind w:left="170"/>
      <w:jc w:val="both"/>
    </w:pPr>
    <w:rPr>
      <w:rFonts w:ascii="Courier" w:hAnsi="Courier"/>
      <w:sz w:val="24"/>
      <w:lang w:val="fr-FR"/>
    </w:rPr>
  </w:style>
  <w:style w:type="paragraph" w:customStyle="1" w:styleId="paragrapheniv2">
    <w:name w:val="paragraphe niv 2"/>
    <w:pPr>
      <w:tabs>
        <w:tab w:val="left" w:pos="851"/>
      </w:tabs>
      <w:spacing w:line="240" w:lineRule="exact"/>
      <w:ind w:left="397"/>
      <w:jc w:val="both"/>
    </w:pPr>
    <w:rPr>
      <w:rFonts w:ascii="Courier" w:hAnsi="Courier"/>
      <w:sz w:val="24"/>
      <w:lang w:val="fr-FR"/>
    </w:rPr>
  </w:style>
  <w:style w:type="paragraph" w:customStyle="1" w:styleId="paragrapheniv3">
    <w:name w:val="paragraphe niv 3"/>
    <w:pPr>
      <w:tabs>
        <w:tab w:val="left" w:pos="1134"/>
      </w:tabs>
      <w:spacing w:line="240" w:lineRule="exact"/>
      <w:ind w:left="680"/>
      <w:jc w:val="both"/>
    </w:pPr>
    <w:rPr>
      <w:rFonts w:ascii="Courier" w:hAnsi="Courier"/>
      <w:sz w:val="24"/>
      <w:lang w:val="fr-FR"/>
    </w:rPr>
  </w:style>
  <w:style w:type="paragraph" w:customStyle="1" w:styleId="paragrapheniv4">
    <w:name w:val="paragraphe niv 4"/>
    <w:pPr>
      <w:tabs>
        <w:tab w:val="left" w:pos="1418"/>
      </w:tabs>
      <w:spacing w:line="240" w:lineRule="exact"/>
      <w:ind w:left="964"/>
      <w:jc w:val="both"/>
    </w:pPr>
    <w:rPr>
      <w:rFonts w:ascii="Courier" w:hAnsi="Courier"/>
      <w:sz w:val="24"/>
      <w:lang w:val="fr-FR"/>
    </w:rPr>
  </w:style>
  <w:style w:type="paragraph" w:customStyle="1" w:styleId="paragrapheniv5">
    <w:name w:val="paragraphe niv 5"/>
    <w:pPr>
      <w:tabs>
        <w:tab w:val="left" w:pos="1701"/>
      </w:tabs>
      <w:spacing w:line="240" w:lineRule="exact"/>
      <w:ind w:left="1247"/>
      <w:jc w:val="both"/>
    </w:pPr>
    <w:rPr>
      <w:rFonts w:ascii="Courier" w:hAnsi="Courier"/>
      <w:sz w:val="24"/>
      <w:lang w:val="fr-FR"/>
    </w:rPr>
  </w:style>
  <w:style w:type="paragraph" w:styleId="TM1">
    <w:name w:val="toc 1"/>
    <w:basedOn w:val="Normal"/>
    <w:next w:val="Normal"/>
    <w:semiHidden/>
    <w:pPr>
      <w:tabs>
        <w:tab w:val="left" w:leader="dot" w:pos="7632"/>
      </w:tabs>
      <w:spacing w:line="240" w:lineRule="exact"/>
    </w:pPr>
    <w:rPr>
      <w:rFonts w:ascii="Courier" w:hAnsi="Courier"/>
      <w:b/>
      <w:caps/>
      <w:sz w:val="24"/>
    </w:rPr>
  </w:style>
  <w:style w:type="paragraph" w:styleId="TM2">
    <w:name w:val="toc 2"/>
    <w:basedOn w:val="Normal"/>
    <w:next w:val="Normal"/>
    <w:semiHidden/>
    <w:pPr>
      <w:tabs>
        <w:tab w:val="left" w:leader="dot" w:pos="7632"/>
      </w:tabs>
      <w:spacing w:line="240" w:lineRule="exact"/>
      <w:ind w:left="284"/>
    </w:pPr>
    <w:rPr>
      <w:rFonts w:ascii="Courier" w:hAnsi="Courier"/>
      <w:caps/>
      <w:sz w:val="16"/>
    </w:rPr>
  </w:style>
  <w:style w:type="paragraph" w:styleId="TM3">
    <w:name w:val="toc 3"/>
    <w:basedOn w:val="Normal"/>
    <w:next w:val="Normal"/>
    <w:semiHidden/>
    <w:pPr>
      <w:tabs>
        <w:tab w:val="left" w:leader="dot" w:pos="7632"/>
      </w:tabs>
      <w:spacing w:line="240" w:lineRule="exact"/>
      <w:ind w:left="567"/>
    </w:pPr>
    <w:rPr>
      <w:rFonts w:ascii="Courier" w:hAnsi="Courier"/>
      <w:caps/>
      <w:sz w:val="16"/>
    </w:rPr>
  </w:style>
  <w:style w:type="paragraph" w:styleId="TM4">
    <w:name w:val="toc 4"/>
    <w:basedOn w:val="Normal"/>
    <w:next w:val="Normal"/>
    <w:semiHidden/>
    <w:pPr>
      <w:tabs>
        <w:tab w:val="left" w:leader="dot" w:pos="7632"/>
      </w:tabs>
      <w:spacing w:line="240" w:lineRule="exact"/>
      <w:ind w:left="851"/>
    </w:pPr>
    <w:rPr>
      <w:rFonts w:ascii="Courier" w:hAnsi="Courier"/>
      <w:caps/>
      <w:sz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0">
    <w:name w:val="Title"/>
    <w:basedOn w:val="Normal"/>
    <w:qFormat/>
    <w:pPr>
      <w:keepLines/>
      <w:pBdr>
        <w:top w:val="single" w:sz="6" w:space="0" w:color="000000"/>
        <w:left w:val="single" w:sz="6" w:space="0" w:color="000000"/>
        <w:bottom w:val="single" w:sz="6" w:space="0" w:color="000000"/>
        <w:right w:val="single" w:sz="6" w:space="0" w:color="000000"/>
        <w:between w:val="single" w:sz="6" w:space="0" w:color="000000"/>
      </w:pBdr>
      <w:spacing w:after="720"/>
      <w:ind w:left="567" w:right="567"/>
      <w:jc w:val="center"/>
    </w:pPr>
    <w:rPr>
      <w:b/>
      <w:spacing w:val="14"/>
      <w:kern w:val="40"/>
      <w:sz w:val="32"/>
    </w:rPr>
  </w:style>
  <w:style w:type="paragraph" w:styleId="Retraitcorpsdetexte">
    <w:name w:val="Body Text Indent"/>
    <w:basedOn w:val="Normal"/>
    <w:semiHidden/>
    <w:pPr>
      <w:spacing w:before="2640"/>
      <w:ind w:left="2268"/>
    </w:pPr>
    <w:rPr>
      <w:rFonts w:ascii="CG Times" w:hAnsi="CG Times"/>
      <w:sz w:val="24"/>
    </w:rPr>
  </w:style>
  <w:style w:type="paragraph" w:styleId="Textedebulles">
    <w:name w:val="Balloon Text"/>
    <w:basedOn w:val="Normal"/>
    <w:link w:val="TextedebullesCar"/>
    <w:uiPriority w:val="99"/>
    <w:semiHidden/>
    <w:unhideWhenUsed/>
    <w:rsid w:val="000B4886"/>
    <w:rPr>
      <w:rFonts w:ascii="Tahoma" w:hAnsi="Tahoma" w:cs="Tahoma"/>
      <w:sz w:val="16"/>
      <w:szCs w:val="16"/>
    </w:rPr>
  </w:style>
  <w:style w:type="character" w:customStyle="1" w:styleId="TextedebullesCar">
    <w:name w:val="Texte de bulles Car"/>
    <w:basedOn w:val="Policepardfaut"/>
    <w:link w:val="Textedebulles"/>
    <w:uiPriority w:val="99"/>
    <w:semiHidden/>
    <w:rsid w:val="000B488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Formulaire d’introduction d’un décompte final</vt:lpstr>
    </vt:vector>
  </TitlesOfParts>
  <Company>M.R.W.</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d’un décompte final</dc:title>
  <dc:subject/>
  <dc:creator>M.R.W.</dc:creator>
  <cp:keywords/>
  <cp:lastModifiedBy>FOULON Vinciane</cp:lastModifiedBy>
  <cp:revision>3</cp:revision>
  <cp:lastPrinted>2014-02-20T07:10:00Z</cp:lastPrinted>
  <dcterms:created xsi:type="dcterms:W3CDTF">2014-03-06T14:13:00Z</dcterms:created>
  <dcterms:modified xsi:type="dcterms:W3CDTF">2019-08-22T13:29:00Z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vinciane.foulon@spw.wallonie.be</vt:lpwstr>
  </property>
  <property fmtid="{D5CDD505-2E9C-101B-9397-08002B2CF9AE}" pid="5" name="MSIP_Label_e72a09c5-6e26-4737-a926-47ef1ab198ae_SetDate">
    <vt:lpwstr>2019-08-22T13:29:20.5741989Z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b14e561e-3d52-46b6-8181-5cbd3ba2ed00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